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9B4338" w14:textId="329760E5" w:rsidR="005D6B72" w:rsidRDefault="002A1522" w:rsidP="00375BAC">
      <w:pPr>
        <w:pStyle w:val="titulos"/>
        <w:jc w:val="both"/>
        <w:rPr>
          <w:caps/>
          <w:sz w:val="24"/>
        </w:rPr>
      </w:pPr>
      <w:r>
        <w:rPr>
          <w:caps/>
          <w:sz w:val="24"/>
        </w:rPr>
        <w:t>GUía</w:t>
      </w:r>
      <w:r w:rsidR="00E71BA4" w:rsidRPr="00E71BA4">
        <w:rPr>
          <w:caps/>
          <w:sz w:val="24"/>
        </w:rPr>
        <w:t xml:space="preserve"> para la presentación de reclamaciones ante SUTEL</w:t>
      </w:r>
    </w:p>
    <w:p w14:paraId="5669C332" w14:textId="4278DE48" w:rsidR="00E42A6D" w:rsidRDefault="00E42A6D" w:rsidP="00375BAC">
      <w:pPr>
        <w:pStyle w:val="titulos"/>
        <w:jc w:val="both"/>
        <w:rPr>
          <w:caps/>
          <w:sz w:val="24"/>
          <w:lang w:val="es-CR"/>
        </w:rPr>
      </w:pPr>
    </w:p>
    <w:tbl>
      <w:tblPr>
        <w:tblStyle w:val="Tablaconcuadrcula"/>
        <w:tblW w:w="9498" w:type="dxa"/>
        <w:jc w:val="center"/>
        <w:tblLayout w:type="fixed"/>
        <w:tblLook w:val="04A0" w:firstRow="1" w:lastRow="0" w:firstColumn="1" w:lastColumn="0" w:noHBand="0" w:noVBand="1"/>
      </w:tblPr>
      <w:tblGrid>
        <w:gridCol w:w="9498"/>
      </w:tblGrid>
      <w:tr w:rsidR="005A4DB1" w:rsidRPr="005A4DB1" w14:paraId="52598322" w14:textId="77777777" w:rsidTr="00B82A2C">
        <w:trPr>
          <w:jc w:val="center"/>
        </w:trPr>
        <w:tc>
          <w:tcPr>
            <w:tcW w:w="9498" w:type="dxa"/>
            <w:shd w:val="clear" w:color="auto" w:fill="007D99"/>
          </w:tcPr>
          <w:p w14:paraId="39537919" w14:textId="77777777" w:rsidR="005A4DB1" w:rsidRPr="005A4DB1" w:rsidRDefault="005A4DB1" w:rsidP="00375BAC">
            <w:pPr>
              <w:jc w:val="both"/>
              <w:rPr>
                <w:rFonts w:ascii="Arial" w:hAnsi="Arial" w:cs="Arial"/>
                <w:b/>
                <w:sz w:val="20"/>
                <w:szCs w:val="20"/>
              </w:rPr>
            </w:pPr>
            <w:r w:rsidRPr="005A4DB1">
              <w:rPr>
                <w:rFonts w:ascii="Arial" w:hAnsi="Arial" w:cs="Arial"/>
                <w:b/>
                <w:color w:val="FFFFFF" w:themeColor="background1"/>
                <w:sz w:val="20"/>
                <w:szCs w:val="20"/>
              </w:rPr>
              <w:t>OBJETIVO</w:t>
            </w:r>
          </w:p>
        </w:tc>
      </w:tr>
      <w:tr w:rsidR="005A4DB1" w:rsidRPr="005A4DB1" w14:paraId="7F798D47" w14:textId="77777777" w:rsidTr="00B82A2C">
        <w:trPr>
          <w:jc w:val="center"/>
        </w:trPr>
        <w:tc>
          <w:tcPr>
            <w:tcW w:w="9498" w:type="dxa"/>
            <w:tcBorders>
              <w:bottom w:val="single" w:sz="4" w:space="0" w:color="000000" w:themeColor="text1"/>
            </w:tcBorders>
          </w:tcPr>
          <w:p w14:paraId="151C7322" w14:textId="7E11C92D" w:rsidR="005A4DB1" w:rsidRPr="005A4DB1" w:rsidRDefault="005A4DB1" w:rsidP="00375BAC">
            <w:pPr>
              <w:spacing w:before="60" w:after="60"/>
              <w:jc w:val="both"/>
              <w:rPr>
                <w:rFonts w:ascii="Arial" w:hAnsi="Arial" w:cs="Arial"/>
                <w:sz w:val="20"/>
                <w:szCs w:val="20"/>
              </w:rPr>
            </w:pPr>
            <w:r w:rsidRPr="005A4DB1">
              <w:rPr>
                <w:rFonts w:ascii="Arial" w:hAnsi="Arial" w:cs="Arial"/>
                <w:sz w:val="20"/>
                <w:szCs w:val="20"/>
              </w:rPr>
              <w:t>Esta guía tiene como propósito brindar al usuario de los servicios de telecomunicaciones la información necesaria para dirigirlo en el trámite de presentación de reclamaciones ante la SUTEL originadas por la violación a los derechos establecidos en la Ley No. 8642, Ley General de Telecomunicaciones</w:t>
            </w:r>
            <w:r w:rsidR="00797C52">
              <w:rPr>
                <w:rFonts w:ascii="Arial" w:hAnsi="Arial" w:cs="Arial"/>
                <w:sz w:val="20"/>
                <w:szCs w:val="20"/>
              </w:rPr>
              <w:t>.</w:t>
            </w:r>
          </w:p>
        </w:tc>
      </w:tr>
      <w:tr w:rsidR="005A4DB1" w:rsidRPr="005A4DB1" w14:paraId="7D80BD6A" w14:textId="77777777" w:rsidTr="00B82A2C">
        <w:trPr>
          <w:jc w:val="center"/>
        </w:trPr>
        <w:tc>
          <w:tcPr>
            <w:tcW w:w="9498" w:type="dxa"/>
            <w:tcBorders>
              <w:bottom w:val="single" w:sz="4" w:space="0" w:color="000000" w:themeColor="text1"/>
            </w:tcBorders>
            <w:shd w:val="clear" w:color="auto" w:fill="007D99"/>
          </w:tcPr>
          <w:p w14:paraId="752DEA41" w14:textId="77777777" w:rsidR="005A4DB1" w:rsidRPr="005A4DB1" w:rsidRDefault="005A4DB1" w:rsidP="00375BAC">
            <w:pPr>
              <w:jc w:val="both"/>
              <w:rPr>
                <w:rFonts w:ascii="Arial" w:hAnsi="Arial" w:cs="Arial"/>
                <w:b/>
                <w:sz w:val="20"/>
                <w:szCs w:val="20"/>
              </w:rPr>
            </w:pPr>
            <w:r w:rsidRPr="005A4DB1">
              <w:rPr>
                <w:rFonts w:ascii="Arial" w:hAnsi="Arial" w:cs="Arial"/>
                <w:b/>
                <w:color w:val="FFFFFF" w:themeColor="background1"/>
                <w:sz w:val="20"/>
                <w:szCs w:val="20"/>
              </w:rPr>
              <w:t>MARCO LEGAL</w:t>
            </w:r>
          </w:p>
        </w:tc>
      </w:tr>
      <w:tr w:rsidR="005A4DB1" w:rsidRPr="005A4DB1" w14:paraId="0795328B" w14:textId="77777777" w:rsidTr="00B82A2C">
        <w:trPr>
          <w:jc w:val="center"/>
        </w:trPr>
        <w:tc>
          <w:tcPr>
            <w:tcW w:w="9498" w:type="dxa"/>
            <w:tcBorders>
              <w:bottom w:val="single" w:sz="4" w:space="0" w:color="000000" w:themeColor="text1"/>
            </w:tcBorders>
          </w:tcPr>
          <w:p w14:paraId="4EEF8ACF" w14:textId="77777777" w:rsidR="005A4DB1" w:rsidRPr="005A4DB1" w:rsidRDefault="005A4DB1" w:rsidP="00375BAC">
            <w:pPr>
              <w:spacing w:before="60" w:line="276" w:lineRule="auto"/>
              <w:jc w:val="both"/>
              <w:rPr>
                <w:rFonts w:ascii="Arial" w:hAnsi="Arial" w:cs="Arial"/>
                <w:sz w:val="20"/>
                <w:szCs w:val="20"/>
              </w:rPr>
            </w:pPr>
            <w:r w:rsidRPr="005A4DB1">
              <w:rPr>
                <w:rFonts w:ascii="Arial" w:hAnsi="Arial" w:cs="Arial"/>
                <w:sz w:val="20"/>
                <w:szCs w:val="20"/>
              </w:rPr>
              <w:t>En el artículo 48 de la Ley No. 8642, Ley General de Telecomunicaciones, se establece:</w:t>
            </w:r>
          </w:p>
          <w:p w14:paraId="5FD5F373" w14:textId="77777777" w:rsidR="00ED610E" w:rsidRDefault="00ED610E" w:rsidP="0071763C">
            <w:pPr>
              <w:spacing w:line="276" w:lineRule="auto"/>
              <w:ind w:left="708" w:right="1091"/>
              <w:jc w:val="both"/>
              <w:rPr>
                <w:rFonts w:ascii="Arial" w:hAnsi="Arial" w:cs="Arial"/>
                <w:sz w:val="18"/>
                <w:szCs w:val="18"/>
              </w:rPr>
            </w:pPr>
          </w:p>
          <w:p w14:paraId="56AD186A" w14:textId="3C2E85F6" w:rsidR="005A4DB1" w:rsidRPr="00455C9B" w:rsidRDefault="005A4DB1" w:rsidP="00455C9B">
            <w:pPr>
              <w:spacing w:line="276" w:lineRule="auto"/>
              <w:ind w:left="708" w:right="1091"/>
              <w:jc w:val="both"/>
              <w:rPr>
                <w:rFonts w:ascii="Arial" w:hAnsi="Arial" w:cs="Arial"/>
                <w:sz w:val="18"/>
                <w:szCs w:val="18"/>
              </w:rPr>
            </w:pPr>
            <w:r w:rsidRPr="00455C9B">
              <w:rPr>
                <w:rFonts w:ascii="Arial" w:hAnsi="Arial" w:cs="Arial"/>
                <w:sz w:val="18"/>
                <w:szCs w:val="18"/>
              </w:rPr>
              <w:t xml:space="preserve">“(…) </w:t>
            </w:r>
            <w:r w:rsidRPr="00455C9B">
              <w:rPr>
                <w:rFonts w:ascii="Arial" w:hAnsi="Arial" w:cs="Arial"/>
                <w:b/>
                <w:bCs/>
                <w:i/>
                <w:sz w:val="18"/>
                <w:szCs w:val="18"/>
              </w:rPr>
              <w:t>La reclamación deberá presentarse ante el propio operador o proveedor</w:t>
            </w:r>
            <w:r w:rsidRPr="00455C9B">
              <w:rPr>
                <w:rFonts w:ascii="Arial" w:hAnsi="Arial" w:cs="Arial"/>
                <w:i/>
                <w:sz w:val="18"/>
                <w:szCs w:val="18"/>
              </w:rPr>
              <w:t>, el cual deberá resolver en un plazo máximo de diez días naturales. En caso de resolución negativa o insuficiente o la ausencia de resolución por parte del operador o proveedor, el reclamante podrá acudir a la Sutel (…)</w:t>
            </w:r>
            <w:r w:rsidRPr="00455C9B">
              <w:rPr>
                <w:rFonts w:ascii="Arial" w:hAnsi="Arial" w:cs="Arial"/>
                <w:sz w:val="18"/>
                <w:szCs w:val="18"/>
              </w:rPr>
              <w:t>”.</w:t>
            </w:r>
          </w:p>
          <w:p w14:paraId="498E85F4" w14:textId="77777777" w:rsidR="005A4DB1" w:rsidRPr="005A4DB1" w:rsidRDefault="005A4DB1" w:rsidP="00375BAC">
            <w:pPr>
              <w:spacing w:line="276" w:lineRule="auto"/>
              <w:jc w:val="both"/>
              <w:rPr>
                <w:rFonts w:ascii="Arial" w:hAnsi="Arial" w:cs="Arial"/>
                <w:sz w:val="20"/>
                <w:szCs w:val="20"/>
              </w:rPr>
            </w:pPr>
          </w:p>
          <w:p w14:paraId="7BB5CD9C" w14:textId="77777777" w:rsidR="005A4DB1" w:rsidRPr="005A4DB1" w:rsidRDefault="005A4DB1" w:rsidP="00375BAC">
            <w:pPr>
              <w:spacing w:line="276" w:lineRule="auto"/>
              <w:jc w:val="both"/>
              <w:rPr>
                <w:rFonts w:ascii="Arial" w:hAnsi="Arial" w:cs="Arial"/>
                <w:sz w:val="20"/>
                <w:szCs w:val="20"/>
              </w:rPr>
            </w:pPr>
            <w:r w:rsidRPr="005A4DB1">
              <w:rPr>
                <w:rFonts w:ascii="Arial" w:hAnsi="Arial" w:cs="Arial"/>
                <w:sz w:val="20"/>
                <w:szCs w:val="20"/>
              </w:rPr>
              <w:t xml:space="preserve">En el artículo 10 del </w:t>
            </w:r>
            <w:r w:rsidRPr="005A4DB1">
              <w:rPr>
                <w:rFonts w:ascii="Arial" w:hAnsi="Arial" w:cs="Arial"/>
                <w:i/>
                <w:sz w:val="20"/>
                <w:szCs w:val="20"/>
              </w:rPr>
              <w:t>Reglamento sobre el régimen de protección al usuario final de los servicios de telecomunicaciones</w:t>
            </w:r>
            <w:r w:rsidRPr="005A4DB1">
              <w:rPr>
                <w:rFonts w:ascii="Arial" w:hAnsi="Arial" w:cs="Arial"/>
                <w:sz w:val="20"/>
                <w:szCs w:val="20"/>
              </w:rPr>
              <w:t>, se establece:</w:t>
            </w:r>
          </w:p>
          <w:p w14:paraId="51BDC3EC" w14:textId="77777777" w:rsidR="00ED610E" w:rsidRDefault="00ED610E" w:rsidP="0071763C">
            <w:pPr>
              <w:ind w:left="708" w:right="1091"/>
              <w:jc w:val="both"/>
              <w:rPr>
                <w:rFonts w:ascii="Arial" w:hAnsi="Arial" w:cs="Arial"/>
                <w:sz w:val="18"/>
                <w:szCs w:val="18"/>
              </w:rPr>
            </w:pPr>
          </w:p>
          <w:p w14:paraId="089DD010" w14:textId="76CA80D8" w:rsidR="005A4DB1" w:rsidRPr="00455C9B" w:rsidRDefault="005A4DB1" w:rsidP="0071763C">
            <w:pPr>
              <w:ind w:left="708" w:right="1091"/>
              <w:jc w:val="both"/>
              <w:rPr>
                <w:rFonts w:ascii="Arial" w:hAnsi="Arial" w:cs="Arial"/>
                <w:i/>
                <w:sz w:val="18"/>
                <w:szCs w:val="18"/>
              </w:rPr>
            </w:pPr>
            <w:r w:rsidRPr="00455C9B">
              <w:rPr>
                <w:rFonts w:ascii="Arial" w:hAnsi="Arial" w:cs="Arial"/>
                <w:sz w:val="18"/>
                <w:szCs w:val="18"/>
              </w:rPr>
              <w:t>“</w:t>
            </w:r>
            <w:r w:rsidRPr="00455C9B">
              <w:rPr>
                <w:rFonts w:ascii="Arial" w:hAnsi="Arial" w:cs="Arial"/>
                <w:b/>
                <w:i/>
                <w:sz w:val="18"/>
                <w:szCs w:val="18"/>
              </w:rPr>
              <w:t>Interposición de la reclamación ante el operador o proveedor</w:t>
            </w:r>
            <w:r w:rsidRPr="00455C9B">
              <w:rPr>
                <w:rFonts w:ascii="Arial" w:hAnsi="Arial" w:cs="Arial"/>
                <w:i/>
                <w:sz w:val="18"/>
                <w:szCs w:val="18"/>
              </w:rPr>
              <w:t>. De conformidad con el artículo 47 de la Ley 8642, los operadores y proveedores deberán garantizar la atención eficiente y gratuita de las reclamaciones que presenten los usuarios por deterioro en la calidad del servicio, cobros indebidos, violación a la intimidad y derechos del usuario final.</w:t>
            </w:r>
          </w:p>
          <w:p w14:paraId="2943A8FE" w14:textId="77777777" w:rsidR="005A4DB1" w:rsidRPr="00455C9B" w:rsidRDefault="005A4DB1" w:rsidP="00455C9B">
            <w:pPr>
              <w:ind w:left="708" w:right="1091"/>
              <w:jc w:val="both"/>
              <w:rPr>
                <w:rFonts w:ascii="Arial" w:hAnsi="Arial" w:cs="Arial"/>
                <w:i/>
                <w:sz w:val="18"/>
                <w:szCs w:val="18"/>
              </w:rPr>
            </w:pPr>
          </w:p>
          <w:p w14:paraId="23B6CE13" w14:textId="77777777" w:rsidR="005A4DB1" w:rsidRPr="00455C9B" w:rsidRDefault="005A4DB1" w:rsidP="00455C9B">
            <w:pPr>
              <w:spacing w:line="276" w:lineRule="auto"/>
              <w:ind w:left="708" w:right="1091"/>
              <w:jc w:val="both"/>
              <w:rPr>
                <w:rFonts w:ascii="Arial" w:hAnsi="Arial" w:cs="Arial"/>
                <w:i/>
                <w:sz w:val="18"/>
                <w:szCs w:val="18"/>
              </w:rPr>
            </w:pPr>
            <w:r w:rsidRPr="00455C9B">
              <w:rPr>
                <w:rFonts w:ascii="Arial" w:hAnsi="Arial" w:cs="Arial"/>
                <w:i/>
                <w:sz w:val="18"/>
                <w:szCs w:val="18"/>
              </w:rPr>
              <w:t>Para ello, deberán disponer de una unidad o servicio especializado de atención al cliente o usuario, que tenga por objeto atender y resolver las quejas y reclamaciones y cualquier incidencia contractual que estos planteen. Este será de carácter gratuito y deberá operar de forma que el cliente o usuario tenga constancia, en cualquier caso, de su reclamación, estando obligados los operadores o proveedores a comunicarle el número de referencia dado a la reclamación planteada (…).</w:t>
            </w:r>
          </w:p>
          <w:p w14:paraId="370C726A" w14:textId="77777777" w:rsidR="005A4DB1" w:rsidRPr="00455C9B" w:rsidRDefault="005A4DB1" w:rsidP="00455C9B">
            <w:pPr>
              <w:spacing w:line="276" w:lineRule="auto"/>
              <w:ind w:left="708" w:right="1091"/>
              <w:jc w:val="both"/>
              <w:rPr>
                <w:rFonts w:ascii="Arial" w:hAnsi="Arial" w:cs="Arial"/>
                <w:i/>
                <w:sz w:val="18"/>
                <w:szCs w:val="18"/>
              </w:rPr>
            </w:pPr>
          </w:p>
          <w:p w14:paraId="738E193B" w14:textId="792CC202" w:rsidR="005A4DB1" w:rsidRPr="00455C9B" w:rsidRDefault="005A4DB1" w:rsidP="00455C9B">
            <w:pPr>
              <w:spacing w:line="276" w:lineRule="auto"/>
              <w:ind w:left="708" w:right="1091"/>
              <w:jc w:val="both"/>
              <w:rPr>
                <w:rFonts w:ascii="Arial" w:hAnsi="Arial" w:cs="Arial"/>
                <w:i/>
                <w:sz w:val="18"/>
                <w:szCs w:val="18"/>
              </w:rPr>
            </w:pPr>
            <w:r w:rsidRPr="00455C9B">
              <w:rPr>
                <w:rFonts w:ascii="Arial" w:hAnsi="Arial" w:cs="Arial"/>
                <w:i/>
                <w:sz w:val="18"/>
                <w:szCs w:val="18"/>
              </w:rPr>
              <w:t>(…) El operador o proveedor que brinde el servicio de forma directa; deberá atender, resolver y brindar respuesta razonada a las reclamaciones interpuestas. Para ello, contará con un plazo máximo de diez (10) días naturales (de acuerdo con lo establecido en el artículo 48 de la Ley 8642 Ley General de Telecomunicaciones) (…).</w:t>
            </w:r>
          </w:p>
          <w:p w14:paraId="2D6AECA3" w14:textId="77777777" w:rsidR="005A4DB1" w:rsidRPr="00455C9B" w:rsidRDefault="005A4DB1" w:rsidP="00455C9B">
            <w:pPr>
              <w:spacing w:line="276" w:lineRule="auto"/>
              <w:ind w:left="708" w:right="1091"/>
              <w:jc w:val="both"/>
              <w:rPr>
                <w:rFonts w:ascii="Arial" w:hAnsi="Arial" w:cs="Arial"/>
                <w:i/>
                <w:sz w:val="18"/>
                <w:szCs w:val="18"/>
              </w:rPr>
            </w:pPr>
          </w:p>
          <w:p w14:paraId="7A04FAF5" w14:textId="77777777" w:rsidR="005A4DB1" w:rsidRPr="00455C9B" w:rsidRDefault="005A4DB1" w:rsidP="00455C9B">
            <w:pPr>
              <w:spacing w:line="276" w:lineRule="auto"/>
              <w:ind w:left="708" w:right="1091"/>
              <w:jc w:val="both"/>
              <w:rPr>
                <w:rFonts w:ascii="Arial" w:hAnsi="Arial" w:cs="Arial"/>
                <w:sz w:val="18"/>
                <w:szCs w:val="18"/>
              </w:rPr>
            </w:pPr>
            <w:r w:rsidRPr="00455C9B">
              <w:rPr>
                <w:rFonts w:ascii="Arial" w:hAnsi="Arial" w:cs="Arial"/>
                <w:i/>
                <w:sz w:val="18"/>
                <w:szCs w:val="18"/>
              </w:rPr>
              <w:t xml:space="preserve">(…) </w:t>
            </w:r>
            <w:r w:rsidRPr="00455C9B">
              <w:rPr>
                <w:rFonts w:ascii="Arial" w:hAnsi="Arial" w:cs="Arial"/>
                <w:b/>
                <w:bCs/>
                <w:i/>
                <w:sz w:val="18"/>
                <w:szCs w:val="18"/>
              </w:rPr>
              <w:t>La acción para reclamar caduca en un plazo de dos (2) meses</w:t>
            </w:r>
            <w:r w:rsidRPr="00455C9B">
              <w:rPr>
                <w:rFonts w:ascii="Arial" w:hAnsi="Arial" w:cs="Arial"/>
                <w:i/>
                <w:sz w:val="18"/>
                <w:szCs w:val="18"/>
              </w:rPr>
              <w:t>, contado desde el acaecimiento de la falta o desde que esta se conoció, salvo para los hechos continuados, en cuyo caso, comienza a correr a partir del último hecho (…)</w:t>
            </w:r>
            <w:r w:rsidRPr="00455C9B">
              <w:rPr>
                <w:rFonts w:ascii="Arial" w:hAnsi="Arial" w:cs="Arial"/>
                <w:sz w:val="18"/>
                <w:szCs w:val="18"/>
              </w:rPr>
              <w:t>”.</w:t>
            </w:r>
          </w:p>
          <w:p w14:paraId="2C1C8FBA" w14:textId="77777777" w:rsidR="005A4DB1" w:rsidRPr="00455C9B" w:rsidRDefault="005A4DB1" w:rsidP="00375BAC">
            <w:pPr>
              <w:spacing w:line="276" w:lineRule="auto"/>
              <w:jc w:val="both"/>
              <w:rPr>
                <w:rFonts w:ascii="Arial" w:hAnsi="Arial" w:cs="Arial"/>
                <w:sz w:val="18"/>
                <w:szCs w:val="18"/>
              </w:rPr>
            </w:pPr>
          </w:p>
          <w:p w14:paraId="5EC29CD3" w14:textId="77777777" w:rsidR="005A4DB1" w:rsidRPr="005A4DB1" w:rsidRDefault="005A4DB1" w:rsidP="00375BAC">
            <w:pPr>
              <w:spacing w:line="276" w:lineRule="auto"/>
              <w:jc w:val="both"/>
              <w:rPr>
                <w:rFonts w:ascii="Arial" w:hAnsi="Arial" w:cs="Arial"/>
                <w:sz w:val="20"/>
                <w:szCs w:val="20"/>
              </w:rPr>
            </w:pPr>
            <w:r w:rsidRPr="005A4DB1">
              <w:rPr>
                <w:rFonts w:ascii="Arial" w:hAnsi="Arial" w:cs="Arial"/>
                <w:sz w:val="20"/>
                <w:szCs w:val="20"/>
              </w:rPr>
              <w:t xml:space="preserve">En el artículo 11 del </w:t>
            </w:r>
            <w:r w:rsidRPr="005A4DB1">
              <w:rPr>
                <w:rFonts w:ascii="Arial" w:hAnsi="Arial" w:cs="Arial"/>
                <w:i/>
                <w:sz w:val="20"/>
                <w:szCs w:val="20"/>
              </w:rPr>
              <w:t>Reglamento sobre el régimen de protección al usuario final de los servicios de telecomunicaciones</w:t>
            </w:r>
            <w:r w:rsidRPr="005A4DB1">
              <w:rPr>
                <w:rFonts w:ascii="Arial" w:hAnsi="Arial" w:cs="Arial"/>
                <w:sz w:val="20"/>
                <w:szCs w:val="20"/>
              </w:rPr>
              <w:t>, se establece:</w:t>
            </w:r>
          </w:p>
          <w:p w14:paraId="024BBFD9" w14:textId="77777777" w:rsidR="00ED610E" w:rsidRDefault="00ED610E" w:rsidP="0071763C">
            <w:pPr>
              <w:spacing w:line="276" w:lineRule="auto"/>
              <w:ind w:left="708" w:right="1091"/>
              <w:jc w:val="both"/>
              <w:rPr>
                <w:rFonts w:ascii="Arial" w:hAnsi="Arial" w:cs="Arial"/>
                <w:sz w:val="18"/>
                <w:szCs w:val="18"/>
              </w:rPr>
            </w:pPr>
          </w:p>
          <w:p w14:paraId="6B0724B7" w14:textId="6C974555" w:rsidR="005A4DB1" w:rsidRPr="00455C9B" w:rsidRDefault="005A4DB1" w:rsidP="0071763C">
            <w:pPr>
              <w:spacing w:line="276" w:lineRule="auto"/>
              <w:ind w:left="708" w:right="1091"/>
              <w:jc w:val="both"/>
              <w:rPr>
                <w:rFonts w:ascii="Arial" w:hAnsi="Arial" w:cs="Arial"/>
                <w:i/>
                <w:sz w:val="18"/>
                <w:szCs w:val="18"/>
              </w:rPr>
            </w:pPr>
            <w:r w:rsidRPr="00455C9B">
              <w:rPr>
                <w:rFonts w:ascii="Arial" w:hAnsi="Arial" w:cs="Arial"/>
                <w:sz w:val="18"/>
                <w:szCs w:val="18"/>
              </w:rPr>
              <w:t>“</w:t>
            </w:r>
            <w:r w:rsidRPr="00455C9B">
              <w:rPr>
                <w:rFonts w:ascii="Arial" w:hAnsi="Arial" w:cs="Arial"/>
                <w:b/>
                <w:i/>
                <w:sz w:val="18"/>
                <w:szCs w:val="18"/>
              </w:rPr>
              <w:t>Procedimiento de intervención de la SUTEL</w:t>
            </w:r>
            <w:r w:rsidRPr="00455C9B">
              <w:rPr>
                <w:rFonts w:ascii="Arial" w:hAnsi="Arial" w:cs="Arial"/>
                <w:i/>
                <w:sz w:val="18"/>
                <w:szCs w:val="18"/>
              </w:rPr>
              <w:t>. Las reclamaciones que se presenten ante la SUTEL no están sujetas a formalidades ni requieren autenticación de la firma del reclamante, por lo que pueden plantearse personalmente o por cualquier medio de comunicación escrita (fax, correo electrónico, carta, personalmente en las oficinas de la SUTEL o cualquier medio que permita la identificación del solicitante) (…).</w:t>
            </w:r>
          </w:p>
          <w:p w14:paraId="0C186710" w14:textId="77777777" w:rsidR="005A4DB1" w:rsidRPr="00455C9B" w:rsidRDefault="005A4DB1" w:rsidP="00455C9B">
            <w:pPr>
              <w:spacing w:line="276" w:lineRule="auto"/>
              <w:ind w:left="708" w:right="1091"/>
              <w:jc w:val="both"/>
              <w:rPr>
                <w:rFonts w:ascii="Arial" w:hAnsi="Arial" w:cs="Arial"/>
                <w:i/>
                <w:sz w:val="18"/>
                <w:szCs w:val="18"/>
              </w:rPr>
            </w:pPr>
          </w:p>
          <w:p w14:paraId="1F36778E" w14:textId="77777777" w:rsidR="005A4DB1" w:rsidRPr="005A4DB1" w:rsidRDefault="005A4DB1" w:rsidP="00455C9B">
            <w:pPr>
              <w:spacing w:after="60" w:line="276" w:lineRule="auto"/>
              <w:ind w:left="709" w:right="1091"/>
              <w:jc w:val="both"/>
              <w:rPr>
                <w:rFonts w:ascii="Arial" w:hAnsi="Arial" w:cs="Arial"/>
                <w:b/>
                <w:sz w:val="20"/>
                <w:szCs w:val="20"/>
              </w:rPr>
            </w:pPr>
            <w:r w:rsidRPr="00455C9B">
              <w:rPr>
                <w:rFonts w:ascii="Arial" w:hAnsi="Arial" w:cs="Arial"/>
                <w:i/>
                <w:sz w:val="18"/>
                <w:szCs w:val="18"/>
              </w:rPr>
              <w:t>(…) En cualquier momento, previo al dictado de la resolución de la SUTEL, las partes podrán llegar a un acuerdo y desistir de la intervención de la SUTEL (…)</w:t>
            </w:r>
            <w:r w:rsidRPr="00455C9B">
              <w:rPr>
                <w:rFonts w:ascii="Arial" w:hAnsi="Arial" w:cs="Arial"/>
                <w:sz w:val="18"/>
                <w:szCs w:val="18"/>
              </w:rPr>
              <w:t>”.</w:t>
            </w:r>
          </w:p>
        </w:tc>
      </w:tr>
    </w:tbl>
    <w:p w14:paraId="1C3E71D9" w14:textId="22A26587" w:rsidR="00797C52" w:rsidRDefault="00797C52" w:rsidP="00375BAC">
      <w:pPr>
        <w:jc w:val="both"/>
      </w:pPr>
    </w:p>
    <w:p w14:paraId="27CA0556" w14:textId="77777777" w:rsidR="00797C52" w:rsidRDefault="00797C52" w:rsidP="00375BAC">
      <w:pPr>
        <w:jc w:val="both"/>
      </w:pPr>
    </w:p>
    <w:tbl>
      <w:tblPr>
        <w:tblStyle w:val="Tablaconcuadrcula"/>
        <w:tblW w:w="9498" w:type="dxa"/>
        <w:jc w:val="center"/>
        <w:tblLayout w:type="fixed"/>
        <w:tblLook w:val="04A0" w:firstRow="1" w:lastRow="0" w:firstColumn="1" w:lastColumn="0" w:noHBand="0" w:noVBand="1"/>
      </w:tblPr>
      <w:tblGrid>
        <w:gridCol w:w="9498"/>
      </w:tblGrid>
      <w:tr w:rsidR="005A4DB1" w:rsidRPr="005A4DB1" w14:paraId="59E85E93" w14:textId="77777777" w:rsidTr="00B82A2C">
        <w:trPr>
          <w:jc w:val="center"/>
        </w:trPr>
        <w:tc>
          <w:tcPr>
            <w:tcW w:w="9498" w:type="dxa"/>
            <w:shd w:val="clear" w:color="auto" w:fill="007D99"/>
          </w:tcPr>
          <w:p w14:paraId="01C0BB91" w14:textId="77777777" w:rsidR="005A4DB1" w:rsidRPr="005A4DB1" w:rsidRDefault="005A4DB1" w:rsidP="00375BAC">
            <w:pPr>
              <w:jc w:val="both"/>
              <w:rPr>
                <w:rFonts w:ascii="Arial" w:hAnsi="Arial" w:cs="Arial"/>
                <w:b/>
                <w:sz w:val="20"/>
                <w:szCs w:val="20"/>
              </w:rPr>
            </w:pPr>
            <w:r w:rsidRPr="005A4DB1">
              <w:rPr>
                <w:rFonts w:ascii="Arial" w:hAnsi="Arial" w:cs="Arial"/>
                <w:b/>
                <w:color w:val="FFFFFF" w:themeColor="background1"/>
                <w:sz w:val="20"/>
                <w:szCs w:val="20"/>
              </w:rPr>
              <w:t>REQUISITOS PARA PRESENTAR UNA RECLAMACIÓN</w:t>
            </w:r>
          </w:p>
        </w:tc>
      </w:tr>
      <w:tr w:rsidR="005A4DB1" w:rsidRPr="005A4DB1" w14:paraId="1C470F6D" w14:textId="77777777" w:rsidTr="00B82A2C">
        <w:trPr>
          <w:jc w:val="center"/>
        </w:trPr>
        <w:tc>
          <w:tcPr>
            <w:tcW w:w="9498" w:type="dxa"/>
          </w:tcPr>
          <w:p w14:paraId="42811063" w14:textId="77777777" w:rsidR="005A4DB1" w:rsidRPr="005A4DB1" w:rsidRDefault="005A4DB1" w:rsidP="00375BAC">
            <w:pPr>
              <w:spacing w:before="60"/>
              <w:jc w:val="both"/>
              <w:rPr>
                <w:rFonts w:ascii="Arial" w:hAnsi="Arial" w:cs="Arial"/>
                <w:sz w:val="20"/>
                <w:szCs w:val="20"/>
              </w:rPr>
            </w:pPr>
            <w:r w:rsidRPr="005A4DB1">
              <w:rPr>
                <w:rFonts w:ascii="Arial" w:hAnsi="Arial" w:cs="Arial"/>
                <w:sz w:val="20"/>
                <w:szCs w:val="20"/>
              </w:rPr>
              <w:t>Antes de presentar su reclamo ante la SUTEL, usted debe acudir al operador o proveedor del servicio. Si pasados los diez (10) días naturales la respuesta del operador o proveedor de servicios no le satisface o, ante ausencia de respuesta por parte de este, usted puede plantear su reclamación ante la SUTEL para lo cual DEBE cumplir con la presentación de los siguientes requisitos:</w:t>
            </w:r>
          </w:p>
          <w:p w14:paraId="6C5E6E6B" w14:textId="7C028ACD" w:rsidR="005A4DB1" w:rsidRPr="005A4DB1" w:rsidRDefault="005A4DB1" w:rsidP="00375BAC">
            <w:pPr>
              <w:pStyle w:val="Prrafodelista"/>
              <w:numPr>
                <w:ilvl w:val="0"/>
                <w:numId w:val="5"/>
              </w:numPr>
              <w:ind w:left="606" w:hanging="284"/>
              <w:jc w:val="both"/>
              <w:rPr>
                <w:rFonts w:ascii="Arial" w:hAnsi="Arial" w:cs="Arial"/>
                <w:sz w:val="20"/>
                <w:szCs w:val="20"/>
              </w:rPr>
            </w:pPr>
            <w:r w:rsidRPr="005A4DB1">
              <w:rPr>
                <w:rFonts w:ascii="Arial" w:hAnsi="Arial" w:cs="Arial"/>
                <w:sz w:val="20"/>
                <w:szCs w:val="20"/>
              </w:rPr>
              <w:t xml:space="preserve">Comprobante </w:t>
            </w:r>
            <w:r w:rsidR="00375BAC">
              <w:rPr>
                <w:rFonts w:ascii="Arial" w:hAnsi="Arial" w:cs="Arial"/>
                <w:sz w:val="20"/>
                <w:szCs w:val="20"/>
              </w:rPr>
              <w:t xml:space="preserve">o código consecutivo que acredite que acudió </w:t>
            </w:r>
            <w:r w:rsidRPr="005A4DB1">
              <w:rPr>
                <w:rFonts w:ascii="Arial" w:hAnsi="Arial" w:cs="Arial"/>
                <w:sz w:val="20"/>
                <w:szCs w:val="20"/>
              </w:rPr>
              <w:t xml:space="preserve">al operador o proveedor de servicios con al menos diez (10) días </w:t>
            </w:r>
            <w:r w:rsidR="00375BAC">
              <w:rPr>
                <w:rFonts w:ascii="Arial" w:hAnsi="Arial" w:cs="Arial"/>
                <w:sz w:val="20"/>
                <w:szCs w:val="20"/>
              </w:rPr>
              <w:t xml:space="preserve">naturales </w:t>
            </w:r>
            <w:r w:rsidRPr="005A4DB1">
              <w:rPr>
                <w:rFonts w:ascii="Arial" w:hAnsi="Arial" w:cs="Arial"/>
                <w:sz w:val="20"/>
                <w:szCs w:val="20"/>
              </w:rPr>
              <w:t>de antelación a la presentación de su reclamo ante la SUTEL.</w:t>
            </w:r>
          </w:p>
          <w:p w14:paraId="7DBEF182" w14:textId="3DD03427" w:rsidR="005A4DB1" w:rsidRPr="00832BB6" w:rsidRDefault="005A4DB1" w:rsidP="00375BAC">
            <w:pPr>
              <w:pStyle w:val="Prrafodelista"/>
              <w:numPr>
                <w:ilvl w:val="0"/>
                <w:numId w:val="5"/>
              </w:numPr>
              <w:ind w:left="606" w:hanging="284"/>
              <w:jc w:val="both"/>
              <w:rPr>
                <w:rFonts w:ascii="Arial" w:hAnsi="Arial" w:cs="Arial"/>
                <w:sz w:val="20"/>
                <w:szCs w:val="20"/>
              </w:rPr>
            </w:pPr>
            <w:r w:rsidRPr="00832BB6">
              <w:rPr>
                <w:rFonts w:ascii="Arial" w:hAnsi="Arial" w:cs="Arial"/>
                <w:sz w:val="20"/>
                <w:szCs w:val="20"/>
              </w:rPr>
              <w:t>Descripción clara de los hechos que fundamentan su reclamo e indicación clara y concisa de su pretensión (</w:t>
            </w:r>
            <w:r w:rsidRPr="00832BB6">
              <w:rPr>
                <w:rFonts w:ascii="Arial" w:hAnsi="Arial" w:cs="Arial"/>
                <w:i/>
                <w:sz w:val="20"/>
                <w:szCs w:val="20"/>
              </w:rPr>
              <w:t>puede utilizar el formulario disponible en la página web de la SUTEL</w:t>
            </w:r>
            <w:r w:rsidR="00375BAC">
              <w:rPr>
                <w:rFonts w:ascii="Arial" w:hAnsi="Arial" w:cs="Arial"/>
                <w:i/>
                <w:sz w:val="20"/>
                <w:szCs w:val="20"/>
              </w:rPr>
              <w:t xml:space="preserve"> </w:t>
            </w:r>
            <w:hyperlink r:id="rId8" w:history="1">
              <w:r w:rsidR="00375BAC" w:rsidRPr="00E25B9E">
                <w:rPr>
                  <w:rStyle w:val="Hipervnculo"/>
                  <w:rFonts w:ascii="Arial" w:hAnsi="Arial" w:cs="Arial"/>
                  <w:sz w:val="20"/>
                  <w:szCs w:val="20"/>
                </w:rPr>
                <w:t>https://www.sutel.go.cr/</w:t>
              </w:r>
            </w:hyperlink>
            <w:r w:rsidRPr="00832BB6">
              <w:rPr>
                <w:rFonts w:ascii="Arial" w:hAnsi="Arial" w:cs="Arial"/>
                <w:sz w:val="20"/>
                <w:szCs w:val="20"/>
              </w:rPr>
              <w:t>).</w:t>
            </w:r>
          </w:p>
          <w:p w14:paraId="21440522" w14:textId="270205F4" w:rsidR="005A4DB1" w:rsidRPr="00832BB6" w:rsidRDefault="005A4DB1" w:rsidP="00375BAC">
            <w:pPr>
              <w:pStyle w:val="Prrafodelista"/>
              <w:numPr>
                <w:ilvl w:val="0"/>
                <w:numId w:val="5"/>
              </w:numPr>
              <w:ind w:left="606" w:hanging="284"/>
              <w:jc w:val="both"/>
              <w:rPr>
                <w:rFonts w:ascii="Arial" w:hAnsi="Arial" w:cs="Arial"/>
                <w:sz w:val="20"/>
                <w:szCs w:val="20"/>
              </w:rPr>
            </w:pPr>
            <w:r w:rsidRPr="00832BB6">
              <w:rPr>
                <w:rFonts w:ascii="Arial" w:hAnsi="Arial" w:cs="Arial"/>
                <w:sz w:val="20"/>
                <w:szCs w:val="20"/>
              </w:rPr>
              <w:t>Nombre, apellidos y firma</w:t>
            </w:r>
            <w:r w:rsidR="00375BAC" w:rsidRPr="00832BB6">
              <w:rPr>
                <w:rFonts w:ascii="Arial" w:hAnsi="Arial" w:cs="Arial"/>
                <w:sz w:val="20"/>
                <w:szCs w:val="20"/>
              </w:rPr>
              <w:t xml:space="preserve"> física o digital</w:t>
            </w:r>
            <w:r w:rsidRPr="00832BB6">
              <w:rPr>
                <w:rFonts w:ascii="Arial" w:hAnsi="Arial" w:cs="Arial"/>
                <w:sz w:val="20"/>
                <w:szCs w:val="20"/>
              </w:rPr>
              <w:t xml:space="preserve">. </w:t>
            </w:r>
          </w:p>
          <w:p w14:paraId="4985BB66" w14:textId="01C84838" w:rsidR="005A4DB1" w:rsidRPr="00832BB6" w:rsidRDefault="005A4DB1" w:rsidP="00375BAC">
            <w:pPr>
              <w:pStyle w:val="Prrafodelista"/>
              <w:numPr>
                <w:ilvl w:val="0"/>
                <w:numId w:val="5"/>
              </w:numPr>
              <w:ind w:left="606" w:hanging="284"/>
              <w:jc w:val="both"/>
              <w:rPr>
                <w:rFonts w:ascii="Arial" w:hAnsi="Arial" w:cs="Arial"/>
                <w:sz w:val="20"/>
                <w:szCs w:val="20"/>
              </w:rPr>
            </w:pPr>
            <w:r w:rsidRPr="00832BB6">
              <w:rPr>
                <w:rFonts w:ascii="Arial" w:hAnsi="Arial" w:cs="Arial"/>
                <w:sz w:val="20"/>
                <w:szCs w:val="20"/>
              </w:rPr>
              <w:t>Documentación y pruebas que considere relevantes como parte de su reclamo.</w:t>
            </w:r>
            <w:r w:rsidR="004D2392" w:rsidRPr="00832BB6">
              <w:rPr>
                <w:rFonts w:ascii="Arial" w:hAnsi="Arial" w:cs="Arial"/>
                <w:sz w:val="20"/>
                <w:szCs w:val="20"/>
              </w:rPr>
              <w:t xml:space="preserve"> De solicitarse daños y perjuicios es indispensable la presentación de los documentos que acrediten su origen, naturaleza y estimación.</w:t>
            </w:r>
          </w:p>
          <w:p w14:paraId="2A730DED" w14:textId="680E766A" w:rsidR="005A4DB1" w:rsidRPr="00832BB6" w:rsidRDefault="005A4DB1" w:rsidP="00375BAC">
            <w:pPr>
              <w:pStyle w:val="Prrafodelista"/>
              <w:numPr>
                <w:ilvl w:val="0"/>
                <w:numId w:val="5"/>
              </w:numPr>
              <w:ind w:left="606" w:hanging="284"/>
              <w:jc w:val="both"/>
              <w:rPr>
                <w:rFonts w:ascii="Arial" w:hAnsi="Arial" w:cs="Arial"/>
                <w:sz w:val="20"/>
                <w:szCs w:val="20"/>
              </w:rPr>
            </w:pPr>
            <w:r w:rsidRPr="00832BB6">
              <w:rPr>
                <w:rFonts w:ascii="Arial" w:hAnsi="Arial" w:cs="Arial"/>
                <w:sz w:val="20"/>
                <w:szCs w:val="20"/>
              </w:rPr>
              <w:t>Medio para recibir notificaciones. Puede ser: correo electrónico (</w:t>
            </w:r>
            <w:r w:rsidRPr="00832BB6">
              <w:rPr>
                <w:rFonts w:ascii="Arial" w:hAnsi="Arial" w:cs="Arial"/>
                <w:i/>
                <w:sz w:val="20"/>
                <w:szCs w:val="20"/>
              </w:rPr>
              <w:t>preferible</w:t>
            </w:r>
            <w:r w:rsidRPr="00832BB6">
              <w:rPr>
                <w:rFonts w:ascii="Arial" w:hAnsi="Arial" w:cs="Arial"/>
                <w:sz w:val="20"/>
                <w:szCs w:val="20"/>
              </w:rPr>
              <w:t xml:space="preserve">), fax </w:t>
            </w:r>
            <w:r w:rsidR="00421BE4" w:rsidRPr="00832BB6">
              <w:rPr>
                <w:rFonts w:ascii="Arial" w:hAnsi="Arial" w:cs="Arial"/>
                <w:sz w:val="20"/>
                <w:szCs w:val="20"/>
              </w:rPr>
              <w:t>o</w:t>
            </w:r>
            <w:r w:rsidRPr="00832BB6">
              <w:rPr>
                <w:rFonts w:ascii="Arial" w:hAnsi="Arial" w:cs="Arial"/>
                <w:sz w:val="20"/>
                <w:szCs w:val="20"/>
              </w:rPr>
              <w:t xml:space="preserve"> dirección física.</w:t>
            </w:r>
          </w:p>
          <w:p w14:paraId="1AE9F6B8" w14:textId="6BF26985" w:rsidR="005A4DB1" w:rsidRPr="00832BB6" w:rsidRDefault="005A4DB1" w:rsidP="00375BAC">
            <w:pPr>
              <w:pStyle w:val="Prrafodelista"/>
              <w:numPr>
                <w:ilvl w:val="0"/>
                <w:numId w:val="5"/>
              </w:numPr>
              <w:ind w:left="606" w:hanging="284"/>
              <w:jc w:val="both"/>
              <w:rPr>
                <w:rFonts w:ascii="Arial" w:hAnsi="Arial" w:cs="Arial"/>
                <w:sz w:val="20"/>
                <w:szCs w:val="20"/>
              </w:rPr>
            </w:pPr>
            <w:r w:rsidRPr="00832BB6">
              <w:rPr>
                <w:rFonts w:ascii="Arial" w:hAnsi="Arial" w:cs="Arial"/>
                <w:sz w:val="20"/>
                <w:szCs w:val="20"/>
              </w:rPr>
              <w:t>Copia de su documento de identificación</w:t>
            </w:r>
            <w:r w:rsidR="005B0E4B" w:rsidRPr="00832BB6">
              <w:rPr>
                <w:rFonts w:ascii="Arial" w:hAnsi="Arial" w:cs="Arial"/>
                <w:sz w:val="20"/>
                <w:szCs w:val="20"/>
              </w:rPr>
              <w:t xml:space="preserve"> vigente por am</w:t>
            </w:r>
            <w:r w:rsidR="00572BE6" w:rsidRPr="00832BB6">
              <w:rPr>
                <w:rFonts w:ascii="Arial" w:hAnsi="Arial" w:cs="Arial"/>
                <w:sz w:val="20"/>
                <w:szCs w:val="20"/>
              </w:rPr>
              <w:t>b</w:t>
            </w:r>
            <w:r w:rsidR="005B0E4B" w:rsidRPr="00832BB6">
              <w:rPr>
                <w:rFonts w:ascii="Arial" w:hAnsi="Arial" w:cs="Arial"/>
                <w:sz w:val="20"/>
                <w:szCs w:val="20"/>
              </w:rPr>
              <w:t>os lados</w:t>
            </w:r>
            <w:r w:rsidRPr="00832BB6">
              <w:rPr>
                <w:rFonts w:ascii="Arial" w:hAnsi="Arial" w:cs="Arial"/>
                <w:sz w:val="20"/>
                <w:szCs w:val="20"/>
              </w:rPr>
              <w:t>.</w:t>
            </w:r>
          </w:p>
          <w:p w14:paraId="3C169E09" w14:textId="77777777" w:rsidR="00572BE6" w:rsidRPr="00572BE6" w:rsidRDefault="00572BE6" w:rsidP="00375BAC">
            <w:pPr>
              <w:pStyle w:val="Prrafodelista"/>
              <w:numPr>
                <w:ilvl w:val="0"/>
                <w:numId w:val="5"/>
              </w:numPr>
              <w:ind w:left="606" w:hanging="284"/>
              <w:jc w:val="both"/>
              <w:rPr>
                <w:rFonts w:ascii="Arial" w:hAnsi="Arial" w:cs="Arial"/>
                <w:b/>
                <w:sz w:val="20"/>
                <w:szCs w:val="20"/>
              </w:rPr>
            </w:pPr>
            <w:r w:rsidRPr="00832BB6">
              <w:rPr>
                <w:rFonts w:ascii="Arial" w:eastAsia="Calibri" w:hAnsi="Arial" w:cs="Arial"/>
                <w:sz w:val="20"/>
                <w:szCs w:val="20"/>
                <w:lang w:eastAsia="es-CR"/>
              </w:rPr>
              <w:t>Autorización debidamente firmada</w:t>
            </w:r>
            <w:r w:rsidRPr="00572BE6">
              <w:rPr>
                <w:rFonts w:ascii="Arial" w:eastAsia="Calibri" w:hAnsi="Arial" w:cs="Arial"/>
                <w:sz w:val="20"/>
                <w:szCs w:val="20"/>
                <w:lang w:eastAsia="es-CR"/>
              </w:rPr>
              <w:t xml:space="preserve"> por el titular del (os) servicio (os), así como, copia de su documento de identificación por ambos lados.</w:t>
            </w:r>
            <w:r w:rsidRPr="00572BE6">
              <w:rPr>
                <w:rStyle w:val="Refdenotaalpie"/>
                <w:rFonts w:ascii="Arial" w:eastAsia="Calibri" w:hAnsi="Arial" w:cs="Arial"/>
                <w:sz w:val="20"/>
                <w:szCs w:val="20"/>
                <w:lang w:eastAsia="es-CR"/>
              </w:rPr>
              <w:footnoteReference w:id="1"/>
            </w:r>
          </w:p>
          <w:p w14:paraId="0357D39E" w14:textId="77777777" w:rsidR="00572BE6" w:rsidRPr="00572BE6" w:rsidRDefault="00572BE6" w:rsidP="00375BAC">
            <w:pPr>
              <w:pStyle w:val="Prrafodelista"/>
              <w:numPr>
                <w:ilvl w:val="0"/>
                <w:numId w:val="5"/>
              </w:numPr>
              <w:ind w:left="606" w:hanging="284"/>
              <w:jc w:val="both"/>
              <w:rPr>
                <w:rFonts w:ascii="Arial" w:hAnsi="Arial" w:cs="Arial"/>
                <w:b/>
                <w:sz w:val="20"/>
                <w:szCs w:val="20"/>
              </w:rPr>
            </w:pPr>
            <w:r w:rsidRPr="00572BE6">
              <w:rPr>
                <w:rFonts w:ascii="Arial" w:eastAsia="Times New Roman" w:hAnsi="Arial" w:cs="Arial"/>
                <w:bCs/>
                <w:sz w:val="20"/>
                <w:szCs w:val="20"/>
                <w:bdr w:val="none" w:sz="0" w:space="0" w:color="auto" w:frame="1"/>
                <w:lang w:eastAsia="es-CR"/>
              </w:rPr>
              <w:t xml:space="preserve">Si el servicio afectado se encuentra a nombre de una persona jurídica: sociedad, asociación, fundación, entre otras, deberá acreditar el reclamante sus facultades legales y representación mediante alguna de las siguientes opciones: </w:t>
            </w:r>
          </w:p>
          <w:p w14:paraId="4191CBD9" w14:textId="77777777" w:rsidR="00572BE6" w:rsidRPr="00572BE6" w:rsidRDefault="00572BE6" w:rsidP="00375BAC">
            <w:pPr>
              <w:pStyle w:val="Prrafodelista"/>
              <w:ind w:left="606"/>
              <w:jc w:val="both"/>
              <w:rPr>
                <w:rFonts w:ascii="Arial" w:eastAsia="Times New Roman" w:hAnsi="Arial" w:cs="Arial"/>
                <w:bCs/>
                <w:sz w:val="20"/>
                <w:szCs w:val="20"/>
                <w:bdr w:val="none" w:sz="0" w:space="0" w:color="auto" w:frame="1"/>
                <w:lang w:eastAsia="es-CR"/>
              </w:rPr>
            </w:pPr>
          </w:p>
          <w:p w14:paraId="304EB141" w14:textId="77777777" w:rsidR="00572BE6" w:rsidRPr="00572BE6" w:rsidRDefault="00572BE6" w:rsidP="00375BAC">
            <w:pPr>
              <w:pStyle w:val="Prrafodelista"/>
              <w:numPr>
                <w:ilvl w:val="1"/>
                <w:numId w:val="5"/>
              </w:numPr>
              <w:jc w:val="both"/>
              <w:rPr>
                <w:rFonts w:ascii="Arial" w:hAnsi="Arial" w:cs="Arial"/>
                <w:b/>
                <w:sz w:val="20"/>
                <w:szCs w:val="20"/>
              </w:rPr>
            </w:pPr>
            <w:r w:rsidRPr="00572BE6">
              <w:rPr>
                <w:rFonts w:ascii="Arial" w:eastAsia="Times New Roman" w:hAnsi="Arial" w:cs="Arial"/>
                <w:bCs/>
                <w:sz w:val="20"/>
                <w:szCs w:val="20"/>
                <w:bdr w:val="none" w:sz="0" w:space="0" w:color="auto" w:frame="1"/>
                <w:lang w:eastAsia="es-CR"/>
              </w:rPr>
              <w:t>Certificación digital o física de una personería jurídica vigente, emitida por el Registro Nacional de Costa Rica, cuya vigencia quedará supeditada conforme a lo que esta indique.</w:t>
            </w:r>
          </w:p>
          <w:p w14:paraId="584C9195" w14:textId="77777777" w:rsidR="00572BE6" w:rsidRPr="00572BE6" w:rsidRDefault="00572BE6" w:rsidP="00375BAC">
            <w:pPr>
              <w:pStyle w:val="Prrafodelista"/>
              <w:numPr>
                <w:ilvl w:val="1"/>
                <w:numId w:val="5"/>
              </w:numPr>
              <w:jc w:val="both"/>
              <w:rPr>
                <w:rFonts w:ascii="Arial" w:hAnsi="Arial" w:cs="Arial"/>
                <w:b/>
                <w:sz w:val="20"/>
                <w:szCs w:val="20"/>
              </w:rPr>
            </w:pPr>
            <w:r w:rsidRPr="00572BE6">
              <w:rPr>
                <w:rFonts w:ascii="Arial" w:eastAsia="Times New Roman" w:hAnsi="Arial" w:cs="Arial"/>
                <w:bCs/>
                <w:sz w:val="20"/>
                <w:szCs w:val="20"/>
                <w:bdr w:val="none" w:sz="0" w:space="0" w:color="auto" w:frame="1"/>
                <w:lang w:eastAsia="es-CR"/>
              </w:rPr>
              <w:t>Certificación digital o física de un poder generalísimo</w:t>
            </w:r>
            <w:r w:rsidRPr="00572BE6">
              <w:rPr>
                <w:rStyle w:val="Refdenotaalpie"/>
                <w:rFonts w:ascii="Arial" w:eastAsia="Times New Roman" w:hAnsi="Arial" w:cs="Arial"/>
                <w:bCs/>
                <w:sz w:val="20"/>
                <w:szCs w:val="20"/>
                <w:bdr w:val="none" w:sz="0" w:space="0" w:color="auto" w:frame="1"/>
                <w:lang w:eastAsia="es-CR"/>
              </w:rPr>
              <w:footnoteReference w:id="2"/>
            </w:r>
            <w:r w:rsidRPr="00572BE6">
              <w:rPr>
                <w:rFonts w:ascii="Arial" w:eastAsia="Times New Roman" w:hAnsi="Arial" w:cs="Arial"/>
                <w:bCs/>
                <w:sz w:val="20"/>
                <w:szCs w:val="20"/>
                <w:bdr w:val="none" w:sz="0" w:space="0" w:color="auto" w:frame="1"/>
                <w:lang w:eastAsia="es-CR"/>
              </w:rPr>
              <w:t xml:space="preserve"> o general</w:t>
            </w:r>
            <w:r w:rsidRPr="00572BE6">
              <w:rPr>
                <w:rStyle w:val="Refdenotaalpie"/>
                <w:rFonts w:ascii="Arial" w:eastAsia="Times New Roman" w:hAnsi="Arial" w:cs="Arial"/>
                <w:bCs/>
                <w:sz w:val="20"/>
                <w:szCs w:val="20"/>
                <w:bdr w:val="none" w:sz="0" w:space="0" w:color="auto" w:frame="1"/>
                <w:lang w:eastAsia="es-CR"/>
              </w:rPr>
              <w:footnoteReference w:id="3"/>
            </w:r>
            <w:r w:rsidRPr="00572BE6">
              <w:rPr>
                <w:rFonts w:ascii="Arial" w:eastAsia="Times New Roman" w:hAnsi="Arial" w:cs="Arial"/>
                <w:bCs/>
                <w:sz w:val="20"/>
                <w:szCs w:val="20"/>
                <w:bdr w:val="none" w:sz="0" w:space="0" w:color="auto" w:frame="1"/>
                <w:lang w:eastAsia="es-CR"/>
              </w:rPr>
              <w:t xml:space="preserve"> vigente, el cual deberá estar debidamente inscrito en el Registro respectivo, y ser emitida por el Registro Nacional de Costa Rica, cuya vigencia quedará supeditada conforme a lo que esta indique.</w:t>
            </w:r>
          </w:p>
          <w:p w14:paraId="139A78CC" w14:textId="77777777" w:rsidR="00572BE6" w:rsidRPr="00572BE6" w:rsidRDefault="00572BE6" w:rsidP="00375BAC">
            <w:pPr>
              <w:pStyle w:val="Prrafodelista"/>
              <w:numPr>
                <w:ilvl w:val="1"/>
                <w:numId w:val="5"/>
              </w:numPr>
              <w:jc w:val="both"/>
              <w:rPr>
                <w:rFonts w:ascii="Arial" w:hAnsi="Arial" w:cs="Arial"/>
                <w:b/>
                <w:sz w:val="20"/>
                <w:szCs w:val="20"/>
              </w:rPr>
            </w:pPr>
            <w:r w:rsidRPr="00572BE6">
              <w:rPr>
                <w:rFonts w:ascii="Arial" w:eastAsia="Times New Roman" w:hAnsi="Arial" w:cs="Arial"/>
                <w:bCs/>
                <w:sz w:val="20"/>
                <w:szCs w:val="20"/>
                <w:bdr w:val="none" w:sz="0" w:space="0" w:color="auto" w:frame="1"/>
                <w:lang w:eastAsia="es-CR"/>
              </w:rPr>
              <w:t>Certificación notarial de una personería jurídica o un poder (generalísimo</w:t>
            </w:r>
            <w:r w:rsidRPr="00572BE6">
              <w:rPr>
                <w:rStyle w:val="Refdenotaalpie"/>
                <w:rFonts w:ascii="Arial" w:eastAsia="Times New Roman" w:hAnsi="Arial" w:cs="Arial"/>
                <w:bCs/>
                <w:sz w:val="20"/>
                <w:szCs w:val="20"/>
                <w:bdr w:val="none" w:sz="0" w:space="0" w:color="auto" w:frame="1"/>
                <w:lang w:eastAsia="es-CR"/>
              </w:rPr>
              <w:footnoteReference w:id="4"/>
            </w:r>
            <w:r w:rsidRPr="00572BE6">
              <w:rPr>
                <w:rFonts w:ascii="Arial" w:eastAsia="Times New Roman" w:hAnsi="Arial" w:cs="Arial"/>
                <w:bCs/>
                <w:sz w:val="20"/>
                <w:szCs w:val="20"/>
                <w:bdr w:val="none" w:sz="0" w:space="0" w:color="auto" w:frame="1"/>
                <w:lang w:eastAsia="es-CR"/>
              </w:rPr>
              <w:t xml:space="preserve"> o general</w:t>
            </w:r>
            <w:r w:rsidRPr="00572BE6">
              <w:rPr>
                <w:rStyle w:val="Refdenotaalpie"/>
                <w:rFonts w:ascii="Arial" w:eastAsia="Times New Roman" w:hAnsi="Arial" w:cs="Arial"/>
                <w:bCs/>
                <w:sz w:val="20"/>
                <w:szCs w:val="20"/>
                <w:bdr w:val="none" w:sz="0" w:space="0" w:color="auto" w:frame="1"/>
                <w:lang w:eastAsia="es-CR"/>
              </w:rPr>
              <w:footnoteReference w:id="5"/>
            </w:r>
            <w:r w:rsidRPr="00572BE6">
              <w:rPr>
                <w:rFonts w:ascii="Arial" w:eastAsia="Times New Roman" w:hAnsi="Arial" w:cs="Arial"/>
                <w:bCs/>
                <w:sz w:val="20"/>
                <w:szCs w:val="20"/>
                <w:bdr w:val="none" w:sz="0" w:space="0" w:color="auto" w:frame="1"/>
                <w:lang w:eastAsia="es-CR"/>
              </w:rPr>
              <w:t xml:space="preserve">), la cual debe de tener como máximo un mes de expedida. </w:t>
            </w:r>
          </w:p>
          <w:p w14:paraId="33A96723" w14:textId="2BB32B8D" w:rsidR="00572BE6" w:rsidRPr="00572BE6" w:rsidRDefault="00572BE6" w:rsidP="00375BAC">
            <w:pPr>
              <w:pStyle w:val="Prrafodelista"/>
              <w:numPr>
                <w:ilvl w:val="1"/>
                <w:numId w:val="5"/>
              </w:numPr>
              <w:jc w:val="both"/>
              <w:rPr>
                <w:rFonts w:ascii="Arial" w:hAnsi="Arial" w:cs="Arial"/>
                <w:b/>
                <w:sz w:val="20"/>
                <w:szCs w:val="20"/>
              </w:rPr>
            </w:pPr>
            <w:r w:rsidRPr="00572BE6">
              <w:rPr>
                <w:rFonts w:ascii="Arial" w:eastAsia="Times New Roman" w:hAnsi="Arial" w:cs="Arial"/>
                <w:bCs/>
                <w:sz w:val="20"/>
                <w:szCs w:val="20"/>
                <w:bdr w:val="none" w:sz="0" w:space="0" w:color="auto" w:frame="1"/>
                <w:lang w:eastAsia="es-CR"/>
              </w:rPr>
              <w:t>Poder especial</w:t>
            </w:r>
            <w:r w:rsidRPr="00572BE6">
              <w:rPr>
                <w:rStyle w:val="Refdenotaalpie"/>
                <w:rFonts w:ascii="Arial" w:eastAsia="Times New Roman" w:hAnsi="Arial" w:cs="Arial"/>
                <w:bCs/>
                <w:sz w:val="20"/>
                <w:szCs w:val="20"/>
                <w:bdr w:val="none" w:sz="0" w:space="0" w:color="auto" w:frame="1"/>
                <w:lang w:eastAsia="es-CR"/>
              </w:rPr>
              <w:footnoteReference w:id="6"/>
            </w:r>
            <w:r w:rsidRPr="00572BE6">
              <w:rPr>
                <w:rFonts w:ascii="Arial" w:eastAsia="Times New Roman" w:hAnsi="Arial" w:cs="Arial"/>
                <w:bCs/>
                <w:sz w:val="20"/>
                <w:szCs w:val="20"/>
                <w:bdr w:val="none" w:sz="0" w:space="0" w:color="auto" w:frame="1"/>
                <w:lang w:eastAsia="es-CR"/>
              </w:rPr>
              <w:t xml:space="preserve">, que se hará constar en papel común por quien tenga las facultades </w:t>
            </w:r>
            <w:r w:rsidRPr="00572BE6">
              <w:rPr>
                <w:rFonts w:ascii="Arial" w:eastAsia="Times New Roman" w:hAnsi="Arial" w:cs="Arial"/>
                <w:bCs/>
                <w:sz w:val="20"/>
                <w:szCs w:val="20"/>
                <w:bdr w:val="none" w:sz="0" w:space="0" w:color="auto" w:frame="1"/>
                <w:lang w:eastAsia="es-CR"/>
              </w:rPr>
              <w:lastRenderedPageBreak/>
              <w:t>suficientes para otorgarlo, con la firma debidamente autenticada por un notario (a) público y la especificación del acto o actos dados en mandato. La vigencia será la que se indique en el mismo poder, caso contrario, quedará condicionada a la realización de las actuaciones indicadas por el poderdante.</w:t>
            </w:r>
          </w:p>
          <w:p w14:paraId="5D59E253" w14:textId="77777777" w:rsidR="005A4DB1" w:rsidRPr="005A4DB1" w:rsidRDefault="005A4DB1" w:rsidP="00375BAC">
            <w:pPr>
              <w:jc w:val="both"/>
              <w:rPr>
                <w:rFonts w:ascii="Arial" w:hAnsi="Arial" w:cs="Arial"/>
                <w:sz w:val="20"/>
                <w:szCs w:val="20"/>
              </w:rPr>
            </w:pPr>
          </w:p>
          <w:p w14:paraId="5C4C7719" w14:textId="798A200D" w:rsidR="005A4DB1" w:rsidRPr="005A4DB1" w:rsidRDefault="005A4DB1" w:rsidP="00375BAC">
            <w:pPr>
              <w:jc w:val="both"/>
              <w:rPr>
                <w:rFonts w:ascii="Arial" w:hAnsi="Arial" w:cs="Arial"/>
                <w:sz w:val="20"/>
                <w:szCs w:val="20"/>
              </w:rPr>
            </w:pPr>
            <w:r w:rsidRPr="005A4DB1">
              <w:rPr>
                <w:rFonts w:ascii="Arial" w:hAnsi="Arial" w:cs="Arial"/>
                <w:sz w:val="20"/>
                <w:szCs w:val="20"/>
              </w:rPr>
              <w:t>De acuerdo con lo establecido en el artículo 285 de la Ley N</w:t>
            </w:r>
            <w:r w:rsidR="005E5BBA">
              <w:rPr>
                <w:rFonts w:ascii="Arial" w:hAnsi="Arial" w:cs="Arial"/>
                <w:sz w:val="20"/>
                <w:szCs w:val="20"/>
              </w:rPr>
              <w:t>°</w:t>
            </w:r>
            <w:r w:rsidRPr="005A4DB1">
              <w:rPr>
                <w:rFonts w:ascii="Arial" w:hAnsi="Arial" w:cs="Arial"/>
                <w:sz w:val="20"/>
                <w:szCs w:val="20"/>
              </w:rPr>
              <w:t>6227, Ley General de la Administración Pública, la ausencia de los requisitos 2, 3 y 5 obligará al rechazo y archivo de la petición.</w:t>
            </w:r>
          </w:p>
          <w:p w14:paraId="7C81D7F7" w14:textId="77777777" w:rsidR="005A4DB1" w:rsidRPr="005A4DB1" w:rsidRDefault="005A4DB1" w:rsidP="00375BAC">
            <w:pPr>
              <w:jc w:val="both"/>
              <w:rPr>
                <w:rFonts w:ascii="Arial" w:hAnsi="Arial" w:cs="Arial"/>
                <w:sz w:val="20"/>
                <w:szCs w:val="20"/>
              </w:rPr>
            </w:pPr>
          </w:p>
        </w:tc>
      </w:tr>
      <w:tr w:rsidR="005A4DB1" w:rsidRPr="005A4DB1" w14:paraId="1FE3AA29" w14:textId="77777777" w:rsidTr="00B82A2C">
        <w:trPr>
          <w:jc w:val="center"/>
        </w:trPr>
        <w:tc>
          <w:tcPr>
            <w:tcW w:w="9498" w:type="dxa"/>
            <w:shd w:val="clear" w:color="auto" w:fill="007D99"/>
          </w:tcPr>
          <w:p w14:paraId="6D278344" w14:textId="77777777" w:rsidR="005A4DB1" w:rsidRPr="005A4DB1" w:rsidRDefault="005A4DB1" w:rsidP="00375BAC">
            <w:pPr>
              <w:jc w:val="both"/>
              <w:rPr>
                <w:rFonts w:ascii="Arial" w:hAnsi="Arial" w:cs="Arial"/>
                <w:b/>
                <w:sz w:val="20"/>
                <w:szCs w:val="20"/>
              </w:rPr>
            </w:pPr>
            <w:r w:rsidRPr="005A4DB1">
              <w:rPr>
                <w:rFonts w:ascii="Arial" w:hAnsi="Arial" w:cs="Arial"/>
                <w:b/>
                <w:color w:val="FFFFFF" w:themeColor="background1"/>
                <w:sz w:val="20"/>
                <w:szCs w:val="20"/>
              </w:rPr>
              <w:lastRenderedPageBreak/>
              <w:t>MEDIOS PARA PRESENTAR SU RECLAMACIÓN</w:t>
            </w:r>
          </w:p>
        </w:tc>
      </w:tr>
      <w:tr w:rsidR="005A4DB1" w:rsidRPr="005A4DB1" w14:paraId="4F3D36CD" w14:textId="77777777" w:rsidTr="00B82A2C">
        <w:trPr>
          <w:jc w:val="center"/>
        </w:trPr>
        <w:tc>
          <w:tcPr>
            <w:tcW w:w="9498" w:type="dxa"/>
          </w:tcPr>
          <w:p w14:paraId="7C03B471" w14:textId="77777777" w:rsidR="005A4DB1" w:rsidRPr="005A4DB1" w:rsidRDefault="005A4DB1" w:rsidP="00375BAC">
            <w:pPr>
              <w:spacing w:before="60" w:line="276" w:lineRule="auto"/>
              <w:jc w:val="both"/>
              <w:rPr>
                <w:rFonts w:ascii="Arial" w:hAnsi="Arial" w:cs="Arial"/>
                <w:sz w:val="20"/>
                <w:szCs w:val="20"/>
              </w:rPr>
            </w:pPr>
            <w:r w:rsidRPr="005A4DB1">
              <w:rPr>
                <w:rFonts w:ascii="Arial" w:hAnsi="Arial" w:cs="Arial"/>
                <w:sz w:val="20"/>
                <w:szCs w:val="20"/>
              </w:rPr>
              <w:t>La SUTEL tiene a disposición de los usuarios los siguientes medios para recibir reclamaciones:</w:t>
            </w:r>
          </w:p>
          <w:p w14:paraId="352E532E" w14:textId="58BFB34E" w:rsidR="005A4DB1" w:rsidRDefault="005A4DB1" w:rsidP="00375BAC">
            <w:pPr>
              <w:pStyle w:val="Prrafodelista"/>
              <w:numPr>
                <w:ilvl w:val="0"/>
                <w:numId w:val="6"/>
              </w:numPr>
              <w:jc w:val="both"/>
              <w:rPr>
                <w:rFonts w:ascii="Arial" w:hAnsi="Arial" w:cs="Arial"/>
                <w:sz w:val="20"/>
                <w:szCs w:val="20"/>
              </w:rPr>
            </w:pPr>
            <w:r w:rsidRPr="007F62FD">
              <w:rPr>
                <w:rFonts w:ascii="Arial" w:hAnsi="Arial" w:cs="Arial"/>
                <w:sz w:val="20"/>
                <w:szCs w:val="20"/>
              </w:rPr>
              <w:t xml:space="preserve">Correo electrónico </w:t>
            </w:r>
            <w:hyperlink r:id="rId9" w:history="1">
              <w:r w:rsidR="00C27213" w:rsidRPr="009210AB">
                <w:rPr>
                  <w:rStyle w:val="Hipervnculo"/>
                  <w:rFonts w:ascii="Arial" w:hAnsi="Arial" w:cs="Arial"/>
                  <w:sz w:val="20"/>
                  <w:szCs w:val="20"/>
                </w:rPr>
                <w:t>gestiondocumental@sutel.go.cr</w:t>
              </w:r>
            </w:hyperlink>
            <w:r w:rsidR="007F62FD">
              <w:rPr>
                <w:rFonts w:ascii="Arial" w:hAnsi="Arial" w:cs="Arial"/>
                <w:sz w:val="20"/>
                <w:szCs w:val="20"/>
              </w:rPr>
              <w:t xml:space="preserve"> </w:t>
            </w:r>
          </w:p>
          <w:p w14:paraId="4D39D690" w14:textId="77777777" w:rsidR="005A4DB1" w:rsidRPr="005A4DB1" w:rsidRDefault="005A4DB1" w:rsidP="00375BAC">
            <w:pPr>
              <w:pStyle w:val="Prrafodelista"/>
              <w:numPr>
                <w:ilvl w:val="0"/>
                <w:numId w:val="6"/>
              </w:numPr>
              <w:jc w:val="both"/>
              <w:rPr>
                <w:rFonts w:ascii="Arial" w:hAnsi="Arial" w:cs="Arial"/>
                <w:sz w:val="20"/>
                <w:szCs w:val="20"/>
              </w:rPr>
            </w:pPr>
            <w:r w:rsidRPr="005A4DB1">
              <w:rPr>
                <w:rFonts w:ascii="Arial" w:hAnsi="Arial" w:cs="Arial"/>
                <w:sz w:val="20"/>
                <w:szCs w:val="20"/>
              </w:rPr>
              <w:t>Fax número 2215-6821</w:t>
            </w:r>
          </w:p>
          <w:p w14:paraId="3EE93DC3" w14:textId="77777777" w:rsidR="005A4DB1" w:rsidRPr="005A4DB1" w:rsidRDefault="005A4DB1" w:rsidP="00375BAC">
            <w:pPr>
              <w:pStyle w:val="Prrafodelista"/>
              <w:numPr>
                <w:ilvl w:val="0"/>
                <w:numId w:val="6"/>
              </w:numPr>
              <w:jc w:val="both"/>
              <w:rPr>
                <w:rFonts w:ascii="Arial" w:hAnsi="Arial" w:cs="Arial"/>
                <w:sz w:val="20"/>
                <w:szCs w:val="20"/>
              </w:rPr>
            </w:pPr>
            <w:r w:rsidRPr="005A4DB1">
              <w:rPr>
                <w:rFonts w:ascii="Arial" w:hAnsi="Arial" w:cs="Arial"/>
                <w:sz w:val="20"/>
                <w:szCs w:val="20"/>
              </w:rPr>
              <w:t xml:space="preserve">Oficinas de la SUTEL: San José, Guachipelín de Escazú, Oficentro </w:t>
            </w:r>
            <w:proofErr w:type="spellStart"/>
            <w:r w:rsidRPr="005A4DB1">
              <w:rPr>
                <w:rFonts w:ascii="Arial" w:hAnsi="Arial" w:cs="Arial"/>
                <w:sz w:val="20"/>
                <w:szCs w:val="20"/>
              </w:rPr>
              <w:t>Multipark</w:t>
            </w:r>
            <w:proofErr w:type="spellEnd"/>
            <w:r w:rsidRPr="005A4DB1">
              <w:rPr>
                <w:rFonts w:ascii="Arial" w:hAnsi="Arial" w:cs="Arial"/>
                <w:sz w:val="20"/>
                <w:szCs w:val="20"/>
              </w:rPr>
              <w:t xml:space="preserve">, Edificio </w:t>
            </w:r>
            <w:proofErr w:type="spellStart"/>
            <w:r w:rsidRPr="005A4DB1">
              <w:rPr>
                <w:rFonts w:ascii="Arial" w:hAnsi="Arial" w:cs="Arial"/>
                <w:sz w:val="20"/>
                <w:szCs w:val="20"/>
              </w:rPr>
              <w:t>Tapantí</w:t>
            </w:r>
            <w:proofErr w:type="spellEnd"/>
            <w:r w:rsidRPr="005A4DB1">
              <w:rPr>
                <w:rFonts w:ascii="Arial" w:hAnsi="Arial" w:cs="Arial"/>
                <w:sz w:val="20"/>
                <w:szCs w:val="20"/>
              </w:rPr>
              <w:t>.</w:t>
            </w:r>
          </w:p>
          <w:p w14:paraId="14F32774" w14:textId="77777777" w:rsidR="005A4DB1" w:rsidRPr="005A4DB1" w:rsidRDefault="005A4DB1" w:rsidP="00375BAC">
            <w:pPr>
              <w:jc w:val="both"/>
              <w:rPr>
                <w:rFonts w:ascii="Arial" w:hAnsi="Arial" w:cs="Arial"/>
                <w:b/>
                <w:sz w:val="20"/>
                <w:szCs w:val="20"/>
              </w:rPr>
            </w:pPr>
          </w:p>
        </w:tc>
      </w:tr>
      <w:tr w:rsidR="005A4DB1" w:rsidRPr="005A4DB1" w14:paraId="237ABF41" w14:textId="77777777" w:rsidTr="00B82A2C">
        <w:trPr>
          <w:jc w:val="center"/>
        </w:trPr>
        <w:tc>
          <w:tcPr>
            <w:tcW w:w="9498" w:type="dxa"/>
            <w:shd w:val="clear" w:color="auto" w:fill="007D99"/>
          </w:tcPr>
          <w:p w14:paraId="7A6C3002" w14:textId="77777777" w:rsidR="005A4DB1" w:rsidRPr="005A4DB1" w:rsidRDefault="005A4DB1" w:rsidP="00375BAC">
            <w:pPr>
              <w:jc w:val="both"/>
              <w:rPr>
                <w:rFonts w:ascii="Arial" w:hAnsi="Arial" w:cs="Arial"/>
                <w:b/>
                <w:sz w:val="20"/>
                <w:szCs w:val="20"/>
              </w:rPr>
            </w:pPr>
            <w:r w:rsidRPr="005A4DB1">
              <w:rPr>
                <w:rFonts w:ascii="Arial" w:hAnsi="Arial" w:cs="Arial"/>
                <w:b/>
                <w:color w:val="FFFFFF" w:themeColor="background1"/>
                <w:sz w:val="20"/>
                <w:szCs w:val="20"/>
              </w:rPr>
              <w:t>CONSULTAS E INFORMACIÓN ADICIONAL</w:t>
            </w:r>
          </w:p>
        </w:tc>
      </w:tr>
      <w:tr w:rsidR="005A4DB1" w:rsidRPr="005A4DB1" w14:paraId="325F03D9" w14:textId="77777777" w:rsidTr="00B82A2C">
        <w:trPr>
          <w:jc w:val="center"/>
        </w:trPr>
        <w:tc>
          <w:tcPr>
            <w:tcW w:w="9498" w:type="dxa"/>
            <w:tcBorders>
              <w:bottom w:val="single" w:sz="4" w:space="0" w:color="000000" w:themeColor="text1"/>
            </w:tcBorders>
          </w:tcPr>
          <w:p w14:paraId="3707E446" w14:textId="50ACF02B" w:rsidR="005A4DB1" w:rsidRPr="005A4DB1" w:rsidRDefault="005A4DB1" w:rsidP="00375BAC">
            <w:pPr>
              <w:spacing w:before="60" w:line="276" w:lineRule="auto"/>
              <w:jc w:val="both"/>
              <w:rPr>
                <w:rFonts w:ascii="Arial" w:hAnsi="Arial" w:cs="Arial"/>
                <w:sz w:val="20"/>
                <w:szCs w:val="20"/>
              </w:rPr>
            </w:pPr>
            <w:r w:rsidRPr="005A4DB1">
              <w:rPr>
                <w:rFonts w:ascii="Arial" w:hAnsi="Arial" w:cs="Arial"/>
                <w:sz w:val="20"/>
                <w:szCs w:val="20"/>
              </w:rPr>
              <w:t xml:space="preserve">Cualquier consulta puede hacerla al correo electrónico </w:t>
            </w:r>
            <w:hyperlink r:id="rId10" w:history="1">
              <w:r w:rsidRPr="005A4DB1">
                <w:rPr>
                  <w:rStyle w:val="Hipervnculo"/>
                  <w:rFonts w:ascii="Arial" w:hAnsi="Arial" w:cs="Arial"/>
                  <w:sz w:val="20"/>
                  <w:szCs w:val="20"/>
                </w:rPr>
                <w:t>info@sutel.go.cr</w:t>
              </w:r>
            </w:hyperlink>
            <w:r w:rsidRPr="005A4DB1">
              <w:rPr>
                <w:rFonts w:ascii="Arial" w:hAnsi="Arial" w:cs="Arial"/>
                <w:sz w:val="20"/>
                <w:szCs w:val="20"/>
              </w:rPr>
              <w:t xml:space="preserve"> o al número gratuito 800-88-SUTEL (800-88-78835).</w:t>
            </w:r>
          </w:p>
          <w:p w14:paraId="0E216652" w14:textId="2C5837DC" w:rsidR="00BA7264" w:rsidRPr="005A4DB1" w:rsidRDefault="00BA7264" w:rsidP="00375BAC">
            <w:pPr>
              <w:spacing w:line="276" w:lineRule="auto"/>
              <w:jc w:val="both"/>
              <w:rPr>
                <w:rFonts w:ascii="Arial" w:hAnsi="Arial" w:cs="Arial"/>
                <w:b/>
                <w:sz w:val="20"/>
                <w:szCs w:val="20"/>
              </w:rPr>
            </w:pPr>
          </w:p>
        </w:tc>
      </w:tr>
    </w:tbl>
    <w:p w14:paraId="31F437F0" w14:textId="77777777" w:rsidR="00D462E5" w:rsidRPr="005A4DB1" w:rsidRDefault="00D462E5" w:rsidP="00375BAC">
      <w:pPr>
        <w:pStyle w:val="titulos"/>
        <w:jc w:val="both"/>
        <w:rPr>
          <w:caps/>
          <w:sz w:val="24"/>
        </w:rPr>
      </w:pPr>
    </w:p>
    <w:sectPr w:rsidR="00D462E5" w:rsidRPr="005A4DB1" w:rsidSect="005D6B72">
      <w:headerReference w:type="even" r:id="rId11"/>
      <w:headerReference w:type="default" r:id="rId12"/>
      <w:footerReference w:type="even" r:id="rId13"/>
      <w:footerReference w:type="default" r:id="rId14"/>
      <w:headerReference w:type="first" r:id="rId15"/>
      <w:type w:val="continuous"/>
      <w:pgSz w:w="12240" w:h="15840"/>
      <w:pgMar w:top="1667" w:right="1021" w:bottom="192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B085" w14:textId="77777777" w:rsidR="00BE327B" w:rsidRDefault="00BE327B" w:rsidP="008F4398">
      <w:r>
        <w:separator/>
      </w:r>
    </w:p>
  </w:endnote>
  <w:endnote w:type="continuationSeparator" w:id="0">
    <w:p w14:paraId="44B6E885" w14:textId="77777777" w:rsidR="00BE327B" w:rsidRDefault="00BE327B" w:rsidP="008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700">
    <w:altName w:val="Times New Roman"/>
    <w:panose1 w:val="00000000000000000000"/>
    <w:charset w:val="00"/>
    <w:family w:val="auto"/>
    <w:notTrueType/>
    <w:pitch w:val="variable"/>
    <w:sig w:usb0="A00000AF" w:usb1="4000004A" w:usb2="00000000" w:usb3="00000000" w:csb0="00000093"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0EF" w14:textId="77777777" w:rsidR="00AC6490" w:rsidRDefault="00AC6490" w:rsidP="005809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72EF64" w14:textId="77777777" w:rsidR="00AC6490" w:rsidRDefault="00AC6490" w:rsidP="00AC649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D8DF" w14:textId="75131B5D" w:rsidR="00AC6490" w:rsidRPr="00AC6490" w:rsidRDefault="00AC6490" w:rsidP="005809C4">
    <w:pPr>
      <w:pStyle w:val="Piedepgina"/>
      <w:framePr w:wrap="around" w:vAnchor="text" w:hAnchor="margin" w:xAlign="right" w:y="1"/>
      <w:rPr>
        <w:rStyle w:val="Nmerodepgina"/>
        <w:rFonts w:ascii="Arial" w:hAnsi="Arial" w:cs="Arial"/>
        <w:sz w:val="16"/>
        <w:szCs w:val="16"/>
      </w:rPr>
    </w:pPr>
  </w:p>
  <w:p w14:paraId="73DDE8D4" w14:textId="6387EAFF" w:rsidR="0006640F" w:rsidRDefault="005F3BA6" w:rsidP="00AC6490">
    <w:pPr>
      <w:pStyle w:val="Piedepgina"/>
      <w:ind w:right="360"/>
    </w:pPr>
    <w:r w:rsidRPr="00A73B6E">
      <w:rPr>
        <w:rFonts w:ascii="Arial" w:hAnsi="Arial" w:cs="Arial"/>
        <w:noProof/>
        <w:lang w:val="es-CR" w:eastAsia="es-CR"/>
      </w:rPr>
      <w:drawing>
        <wp:anchor distT="0" distB="0" distL="114300" distR="114300" simplePos="0" relativeHeight="251661824" behindDoc="1" locked="0" layoutInCell="1" allowOverlap="1" wp14:anchorId="1B4FFC3C" wp14:editId="0EDCDC20">
          <wp:simplePos x="0" y="0"/>
          <wp:positionH relativeFrom="page">
            <wp:posOffset>-4445</wp:posOffset>
          </wp:positionH>
          <wp:positionV relativeFrom="page">
            <wp:posOffset>8853170</wp:posOffset>
          </wp:positionV>
          <wp:extent cx="7772400" cy="1191260"/>
          <wp:effectExtent l="0" t="0" r="0" b="8890"/>
          <wp:wrapNone/>
          <wp:docPr id="35" name="Imagen 1" descr="Alonso27:Users:Alonso27:Desktop:_ALONSO-LUMEN:Sutel:Sutel Dennis:Plantillas:ai:img_B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nso27:Users:Alonso27:Desktop:_ALONSO-LUMEN:Sutel:Sutel Dennis:Plantillas:ai:img_BG.eps"/>
                  <pic:cNvPicPr>
                    <a:picLocks noChangeAspect="1" noChangeArrowheads="1"/>
                  </pic:cNvPicPr>
                </pic:nvPicPr>
                <pic:blipFill rotWithShape="1">
                  <a:blip r:embed="rId1">
                    <a:extLst>
                      <a:ext uri="{28A0092B-C50C-407E-A947-70E740481C1C}">
                        <a14:useLocalDpi xmlns:a14="http://schemas.microsoft.com/office/drawing/2010/main" val="0"/>
                      </a:ext>
                    </a:extLst>
                  </a:blip>
                  <a:srcRect t="88157"/>
                  <a:stretch/>
                </pic:blipFill>
                <pic:spPr bwMode="auto">
                  <a:xfrm>
                    <a:off x="0" y="0"/>
                    <a:ext cx="7772400" cy="1191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40F">
      <w:rPr>
        <w:rFonts w:ascii="Arial" w:hAnsi="Arial" w:cs="Arial"/>
        <w:b/>
        <w:sz w:val="20"/>
      </w:rPr>
      <w:br/>
    </w:r>
  </w:p>
  <w:p w14:paraId="484A489A" w14:textId="208B62BC" w:rsidR="0006640F" w:rsidRDefault="005F3BA6" w:rsidP="005F3BA6">
    <w:pPr>
      <w:pStyle w:val="Piedepgina"/>
      <w:tabs>
        <w:tab w:val="left" w:pos="6105"/>
        <w:tab w:val="right" w:pos="9404"/>
      </w:tabs>
    </w:pP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sidR="00787E7C" w:rsidRPr="005F7865">
      <w:rPr>
        <w:rFonts w:ascii="Arial" w:hAnsi="Arial" w:cs="Arial"/>
        <w:sz w:val="16"/>
        <w:szCs w:val="16"/>
        <w:lang w:val="es-ES"/>
      </w:rPr>
      <w:t xml:space="preserve">Página </w:t>
    </w:r>
    <w:r w:rsidR="00787E7C" w:rsidRPr="005F7865">
      <w:rPr>
        <w:rFonts w:ascii="Arial" w:hAnsi="Arial" w:cs="Arial"/>
        <w:b/>
        <w:bCs/>
        <w:sz w:val="16"/>
        <w:szCs w:val="16"/>
      </w:rPr>
      <w:fldChar w:fldCharType="begin"/>
    </w:r>
    <w:r w:rsidR="00787E7C" w:rsidRPr="005F7865">
      <w:rPr>
        <w:rFonts w:ascii="Arial" w:hAnsi="Arial" w:cs="Arial"/>
        <w:b/>
        <w:bCs/>
        <w:sz w:val="16"/>
        <w:szCs w:val="16"/>
      </w:rPr>
      <w:instrText>PAGE</w:instrText>
    </w:r>
    <w:r w:rsidR="00787E7C" w:rsidRPr="005F7865">
      <w:rPr>
        <w:rFonts w:ascii="Arial" w:hAnsi="Arial" w:cs="Arial"/>
        <w:b/>
        <w:bCs/>
        <w:sz w:val="16"/>
        <w:szCs w:val="16"/>
      </w:rPr>
      <w:fldChar w:fldCharType="separate"/>
    </w:r>
    <w:r w:rsidR="00D4604A">
      <w:rPr>
        <w:rFonts w:ascii="Arial" w:hAnsi="Arial" w:cs="Arial"/>
        <w:b/>
        <w:bCs/>
        <w:noProof/>
        <w:sz w:val="16"/>
        <w:szCs w:val="16"/>
      </w:rPr>
      <w:t>1</w:t>
    </w:r>
    <w:r w:rsidR="00787E7C" w:rsidRPr="005F7865">
      <w:rPr>
        <w:rFonts w:ascii="Arial" w:hAnsi="Arial" w:cs="Arial"/>
        <w:b/>
        <w:bCs/>
        <w:sz w:val="16"/>
        <w:szCs w:val="16"/>
      </w:rPr>
      <w:fldChar w:fldCharType="end"/>
    </w:r>
    <w:r w:rsidR="00787E7C" w:rsidRPr="005F7865">
      <w:rPr>
        <w:rFonts w:ascii="Arial" w:hAnsi="Arial" w:cs="Arial"/>
        <w:sz w:val="16"/>
        <w:szCs w:val="16"/>
        <w:lang w:val="es-ES"/>
      </w:rPr>
      <w:t xml:space="preserve"> de </w:t>
    </w:r>
    <w:r w:rsidR="00787E7C" w:rsidRPr="005F7865">
      <w:rPr>
        <w:rFonts w:ascii="Arial" w:hAnsi="Arial" w:cs="Arial"/>
        <w:b/>
        <w:bCs/>
        <w:sz w:val="16"/>
        <w:szCs w:val="16"/>
      </w:rPr>
      <w:fldChar w:fldCharType="begin"/>
    </w:r>
    <w:r w:rsidR="00787E7C" w:rsidRPr="005F7865">
      <w:rPr>
        <w:rFonts w:ascii="Arial" w:hAnsi="Arial" w:cs="Arial"/>
        <w:b/>
        <w:bCs/>
        <w:sz w:val="16"/>
        <w:szCs w:val="16"/>
      </w:rPr>
      <w:instrText>NUMPAGES</w:instrText>
    </w:r>
    <w:r w:rsidR="00787E7C" w:rsidRPr="005F7865">
      <w:rPr>
        <w:rFonts w:ascii="Arial" w:hAnsi="Arial" w:cs="Arial"/>
        <w:b/>
        <w:bCs/>
        <w:sz w:val="16"/>
        <w:szCs w:val="16"/>
      </w:rPr>
      <w:fldChar w:fldCharType="separate"/>
    </w:r>
    <w:r w:rsidR="00D4604A">
      <w:rPr>
        <w:rFonts w:ascii="Arial" w:hAnsi="Arial" w:cs="Arial"/>
        <w:b/>
        <w:bCs/>
        <w:noProof/>
        <w:sz w:val="16"/>
        <w:szCs w:val="16"/>
      </w:rPr>
      <w:t>1</w:t>
    </w:r>
    <w:r w:rsidR="00787E7C" w:rsidRPr="005F7865">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F462" w14:textId="77777777" w:rsidR="00BE327B" w:rsidRDefault="00BE327B" w:rsidP="008F4398">
      <w:r>
        <w:separator/>
      </w:r>
    </w:p>
  </w:footnote>
  <w:footnote w:type="continuationSeparator" w:id="0">
    <w:p w14:paraId="1108FDBC" w14:textId="77777777" w:rsidR="00BE327B" w:rsidRDefault="00BE327B" w:rsidP="008F4398">
      <w:r>
        <w:continuationSeparator/>
      </w:r>
    </w:p>
  </w:footnote>
  <w:footnote w:id="1">
    <w:p w14:paraId="04E670D3" w14:textId="77777777" w:rsidR="00572BE6" w:rsidRPr="00572BE6" w:rsidRDefault="00572BE6" w:rsidP="00572BE6">
      <w:pPr>
        <w:rPr>
          <w:rFonts w:ascii="Arial" w:eastAsia="Calibri" w:hAnsi="Arial" w:cs="Arial"/>
          <w:b/>
          <w:sz w:val="16"/>
          <w:szCs w:val="16"/>
          <w:lang w:eastAsia="es-CR"/>
        </w:rPr>
      </w:pPr>
      <w:r w:rsidRPr="00572BE6">
        <w:rPr>
          <w:rFonts w:ascii="Arial" w:eastAsia="Calibri" w:hAnsi="Arial" w:cs="Arial"/>
          <w:sz w:val="16"/>
          <w:szCs w:val="16"/>
          <w:vertAlign w:val="superscript"/>
          <w:lang w:eastAsia="es-CR"/>
        </w:rPr>
        <w:footnoteRef/>
      </w:r>
      <w:r w:rsidRPr="00572BE6">
        <w:rPr>
          <w:rFonts w:ascii="Arial" w:eastAsia="Calibri" w:hAnsi="Arial" w:cs="Arial"/>
          <w:sz w:val="16"/>
          <w:szCs w:val="16"/>
          <w:lang w:eastAsia="es-CR"/>
        </w:rPr>
        <w:t xml:space="preserve"> Art </w:t>
      </w:r>
      <w:r w:rsidRPr="00572BE6">
        <w:rPr>
          <w:rFonts w:ascii="Arial" w:hAnsi="Arial" w:cs="Arial"/>
          <w:sz w:val="16"/>
          <w:szCs w:val="16"/>
        </w:rPr>
        <w:t>10 del Reglamento Sobre el Régimen de Protección al Usuario Final:</w:t>
      </w:r>
      <w:r w:rsidRPr="00572BE6">
        <w:rPr>
          <w:rFonts w:ascii="Arial" w:eastAsia="Calibri" w:hAnsi="Arial" w:cs="Arial"/>
          <w:sz w:val="16"/>
          <w:szCs w:val="16"/>
          <w:lang w:eastAsia="es-CR"/>
        </w:rPr>
        <w:t xml:space="preserve"> “</w:t>
      </w:r>
      <w:r w:rsidRPr="00572BE6">
        <w:rPr>
          <w:rFonts w:ascii="Arial" w:hAnsi="Arial" w:cs="Arial"/>
          <w:i/>
          <w:iCs/>
          <w:sz w:val="16"/>
          <w:szCs w:val="16"/>
        </w:rPr>
        <w:t>Si el servicio no se encuentra a su nombre, deberá presentar una autorización firmada por el titular, mediante la cual se le faculte para representar sus intereses dentro del procedimiento, así como una copia de la cédula de identidad de ambos”.</w:t>
      </w:r>
      <w:r w:rsidRPr="00572BE6">
        <w:rPr>
          <w:rFonts w:ascii="Arial" w:eastAsia="Calibri" w:hAnsi="Arial" w:cs="Arial"/>
          <w:sz w:val="16"/>
          <w:szCs w:val="16"/>
          <w:lang w:eastAsia="es-CR"/>
        </w:rPr>
        <w:t xml:space="preserve"> </w:t>
      </w:r>
    </w:p>
  </w:footnote>
  <w:footnote w:id="2">
    <w:p w14:paraId="17831098" w14:textId="77777777" w:rsidR="00572BE6" w:rsidRPr="00572BE6" w:rsidRDefault="00572BE6" w:rsidP="00572BE6">
      <w:pPr>
        <w:pStyle w:val="Textonotapie"/>
        <w:jc w:val="both"/>
        <w:rPr>
          <w:rFonts w:cs="Arial"/>
          <w:b w:val="0"/>
          <w:bCs/>
          <w:sz w:val="16"/>
          <w:szCs w:val="16"/>
          <w:lang w:val="es-ES"/>
        </w:rPr>
      </w:pPr>
      <w:r w:rsidRPr="00572BE6">
        <w:rPr>
          <w:rStyle w:val="Refdenotaalpie"/>
          <w:rFonts w:cs="Arial"/>
          <w:b w:val="0"/>
          <w:bCs/>
          <w:sz w:val="16"/>
          <w:szCs w:val="16"/>
        </w:rPr>
        <w:footnoteRef/>
      </w:r>
      <w:r w:rsidRPr="00572BE6">
        <w:rPr>
          <w:rFonts w:cs="Arial"/>
          <w:b w:val="0"/>
          <w:bCs/>
          <w:sz w:val="16"/>
          <w:szCs w:val="16"/>
        </w:rPr>
        <w:t xml:space="preserve"> Artículo 1254 del Código Civil: </w:t>
      </w:r>
      <w:r w:rsidRPr="00572BE6">
        <w:rPr>
          <w:rFonts w:cs="Arial"/>
          <w:b w:val="0"/>
          <w:bCs/>
          <w:i/>
          <w:iCs/>
          <w:sz w:val="16"/>
          <w:szCs w:val="16"/>
        </w:rPr>
        <w:t>“Si el poder generalísimo fuere sólo para alguno o algunos negocios, el mandatario tendrá respecto del negocio o negocios a que su poder se refiere y de los bienes que ellos comprendan, las mismas facultades que según el artículo anterior, tiene el apoderado generalísimo para todos los negocios de una persona”.</w:t>
      </w:r>
    </w:p>
  </w:footnote>
  <w:footnote w:id="3">
    <w:p w14:paraId="1A2044B4" w14:textId="77777777" w:rsidR="00572BE6" w:rsidRPr="00572BE6" w:rsidRDefault="00572BE6" w:rsidP="00572BE6">
      <w:pPr>
        <w:jc w:val="both"/>
        <w:rPr>
          <w:rFonts w:ascii="Arial" w:hAnsi="Arial" w:cs="Arial"/>
          <w:b/>
          <w:bCs/>
          <w:sz w:val="16"/>
          <w:szCs w:val="16"/>
        </w:rPr>
      </w:pPr>
      <w:r w:rsidRPr="00572BE6">
        <w:rPr>
          <w:rStyle w:val="Refdenotaalpie"/>
          <w:rFonts w:ascii="Arial" w:hAnsi="Arial" w:cs="Arial"/>
          <w:bCs/>
          <w:sz w:val="16"/>
          <w:szCs w:val="16"/>
        </w:rPr>
        <w:footnoteRef/>
      </w:r>
      <w:r w:rsidRPr="00572BE6">
        <w:rPr>
          <w:rFonts w:ascii="Arial" w:hAnsi="Arial" w:cs="Arial"/>
          <w:bCs/>
          <w:sz w:val="16"/>
          <w:szCs w:val="16"/>
        </w:rPr>
        <w:t xml:space="preserve"> </w:t>
      </w:r>
      <w:r w:rsidRPr="00572BE6">
        <w:rPr>
          <w:rFonts w:ascii="Arial" w:hAnsi="Arial" w:cs="Arial"/>
          <w:bCs/>
          <w:sz w:val="16"/>
          <w:szCs w:val="16"/>
          <w:lang w:val="es-ES"/>
        </w:rPr>
        <w:t xml:space="preserve">Considerando que el poder general </w:t>
      </w:r>
      <w:r w:rsidRPr="00572BE6">
        <w:rPr>
          <w:rFonts w:ascii="Arial" w:hAnsi="Arial" w:cs="Arial"/>
          <w:bCs/>
          <w:sz w:val="16"/>
          <w:szCs w:val="16"/>
        </w:rPr>
        <w:t>comprende actos de pura administración, o sea los que tienen por objeto conservar, mantener, hacer producir un patrimonio o percibir y utilizar las rentas que este dé, de conformidad con el artículo 1255 del Código Civil; únicamente se admitirá la representación legal mediante poder general cuando por vía de ley sea permitido, tal y como es el caso, por ejemplo, las fundaciones y asociaciones, que su normativa lo estipula:</w:t>
      </w:r>
    </w:p>
    <w:p w14:paraId="62F86AAE" w14:textId="77777777" w:rsidR="00572BE6" w:rsidRPr="00572BE6" w:rsidRDefault="00572BE6" w:rsidP="00572BE6">
      <w:pPr>
        <w:pStyle w:val="Prrafodelista"/>
        <w:numPr>
          <w:ilvl w:val="0"/>
          <w:numId w:val="8"/>
        </w:numPr>
        <w:jc w:val="both"/>
        <w:rPr>
          <w:rFonts w:ascii="Arial" w:eastAsia="Times New Roman" w:hAnsi="Arial" w:cs="Arial"/>
          <w:b/>
          <w:bCs/>
          <w:i/>
          <w:iCs/>
          <w:color w:val="000000"/>
          <w:sz w:val="16"/>
          <w:szCs w:val="16"/>
          <w:lang w:val="es-ES"/>
        </w:rPr>
      </w:pPr>
      <w:r w:rsidRPr="00572BE6">
        <w:rPr>
          <w:rFonts w:ascii="Arial" w:eastAsia="Times New Roman" w:hAnsi="Arial" w:cs="Arial"/>
          <w:bCs/>
          <w:color w:val="000000"/>
          <w:sz w:val="16"/>
          <w:szCs w:val="16"/>
          <w:lang w:val="es-ES"/>
        </w:rPr>
        <w:t xml:space="preserve">Artículo 13 de la Ley de Fundaciones. - </w:t>
      </w:r>
      <w:r w:rsidRPr="00572BE6">
        <w:rPr>
          <w:rFonts w:ascii="Arial" w:eastAsia="Times New Roman" w:hAnsi="Arial" w:cs="Arial"/>
          <w:bCs/>
          <w:i/>
          <w:iCs/>
          <w:color w:val="000000"/>
          <w:sz w:val="16"/>
          <w:szCs w:val="16"/>
          <w:lang w:val="es-ES"/>
        </w:rPr>
        <w:t xml:space="preserve">“(…) El </w:t>
      </w:r>
      <w:proofErr w:type="gramStart"/>
      <w:r w:rsidRPr="00572BE6">
        <w:rPr>
          <w:rFonts w:ascii="Arial" w:eastAsia="Times New Roman" w:hAnsi="Arial" w:cs="Arial"/>
          <w:bCs/>
          <w:i/>
          <w:iCs/>
          <w:color w:val="000000"/>
          <w:sz w:val="16"/>
          <w:szCs w:val="16"/>
          <w:lang w:val="es-ES"/>
        </w:rPr>
        <w:t>Presidente</w:t>
      </w:r>
      <w:proofErr w:type="gramEnd"/>
      <w:r w:rsidRPr="00572BE6">
        <w:rPr>
          <w:rFonts w:ascii="Arial" w:eastAsia="Times New Roman" w:hAnsi="Arial" w:cs="Arial"/>
          <w:bCs/>
          <w:i/>
          <w:iCs/>
          <w:color w:val="000000"/>
          <w:sz w:val="16"/>
          <w:szCs w:val="16"/>
          <w:lang w:val="es-ES"/>
        </w:rPr>
        <w:t xml:space="preserve"> tendrá la representación legal de la fundación, con facultades de apoderado general, y estará sujeto a esta ley, a los preceptos constitutivos y reglamentarios de la fundación y a las disposiciones de la Junta Administrativa”. </w:t>
      </w:r>
      <w:r w:rsidRPr="00572BE6">
        <w:rPr>
          <w:rFonts w:ascii="Arial" w:eastAsia="Times New Roman" w:hAnsi="Arial" w:cs="Arial"/>
          <w:bCs/>
          <w:color w:val="000000"/>
          <w:sz w:val="16"/>
          <w:szCs w:val="16"/>
          <w:lang w:val="es-ES"/>
        </w:rPr>
        <w:t>(Destacado es suplido).</w:t>
      </w:r>
      <w:r w:rsidRPr="00572BE6">
        <w:rPr>
          <w:rFonts w:ascii="Arial" w:eastAsia="Times New Roman" w:hAnsi="Arial" w:cs="Arial"/>
          <w:bCs/>
          <w:i/>
          <w:iCs/>
          <w:color w:val="000000"/>
          <w:sz w:val="16"/>
          <w:szCs w:val="16"/>
          <w:lang w:val="es-ES"/>
        </w:rPr>
        <w:t xml:space="preserve"> </w:t>
      </w:r>
    </w:p>
    <w:p w14:paraId="6F218560" w14:textId="77777777" w:rsidR="00572BE6" w:rsidRPr="00572BE6" w:rsidRDefault="00572BE6" w:rsidP="00572BE6">
      <w:pPr>
        <w:pStyle w:val="Prrafodelista"/>
        <w:numPr>
          <w:ilvl w:val="0"/>
          <w:numId w:val="8"/>
        </w:numPr>
        <w:jc w:val="both"/>
        <w:rPr>
          <w:rFonts w:ascii="Arial" w:eastAsia="Times New Roman" w:hAnsi="Arial" w:cs="Arial"/>
          <w:b/>
          <w:bCs/>
          <w:i/>
          <w:iCs/>
          <w:color w:val="000000"/>
          <w:sz w:val="16"/>
          <w:szCs w:val="16"/>
          <w:lang w:val="es-ES"/>
        </w:rPr>
      </w:pPr>
      <w:r w:rsidRPr="00572BE6">
        <w:rPr>
          <w:rFonts w:ascii="Arial" w:hAnsi="Arial" w:cs="Arial"/>
          <w:bCs/>
          <w:color w:val="000000"/>
          <w:sz w:val="16"/>
          <w:szCs w:val="16"/>
        </w:rPr>
        <w:t>Artículo 24 Ley de Asociaciones. – “</w:t>
      </w:r>
      <w:r w:rsidRPr="00572BE6">
        <w:rPr>
          <w:rFonts w:ascii="Arial" w:hAnsi="Arial" w:cs="Arial"/>
          <w:bCs/>
          <w:i/>
          <w:iCs/>
          <w:color w:val="000000"/>
          <w:sz w:val="16"/>
          <w:szCs w:val="16"/>
        </w:rPr>
        <w:t xml:space="preserve">El </w:t>
      </w:r>
      <w:proofErr w:type="gramStart"/>
      <w:r w:rsidRPr="00572BE6">
        <w:rPr>
          <w:rFonts w:ascii="Arial" w:hAnsi="Arial" w:cs="Arial"/>
          <w:bCs/>
          <w:i/>
          <w:iCs/>
          <w:color w:val="000000"/>
          <w:sz w:val="16"/>
          <w:szCs w:val="16"/>
        </w:rPr>
        <w:t>Presidente</w:t>
      </w:r>
      <w:proofErr w:type="gramEnd"/>
      <w:r w:rsidRPr="00572BE6">
        <w:rPr>
          <w:rFonts w:ascii="Arial" w:hAnsi="Arial" w:cs="Arial"/>
          <w:bCs/>
          <w:i/>
          <w:iCs/>
          <w:color w:val="000000"/>
          <w:sz w:val="16"/>
          <w:szCs w:val="16"/>
        </w:rPr>
        <w:t xml:space="preserve"> será el representante judicial y extrajudicial de la asociación y tendrá las facultades en un apoderado generalísimo, salvo que los estatutos restrinjan esas facultades, en cuyo caso tendrá las que se le concedieren. El Tesorero custodiará los fondos de la asociación, previa rendición de garantías que determinen los estatutos y el Fiscal velará porque los organismos de la asociación observen estrictamente las exigencias de la ley y de los estatutos</w:t>
      </w:r>
      <w:r w:rsidRPr="00572BE6">
        <w:rPr>
          <w:rFonts w:ascii="Arial" w:hAnsi="Arial" w:cs="Arial"/>
          <w:bCs/>
          <w:color w:val="000000"/>
          <w:sz w:val="16"/>
          <w:szCs w:val="16"/>
        </w:rPr>
        <w:t xml:space="preserve">”. </w:t>
      </w:r>
      <w:r w:rsidRPr="00572BE6">
        <w:rPr>
          <w:rFonts w:ascii="Arial" w:eastAsia="Times New Roman" w:hAnsi="Arial" w:cs="Arial"/>
          <w:bCs/>
          <w:color w:val="000000"/>
          <w:sz w:val="16"/>
          <w:szCs w:val="16"/>
          <w:lang w:val="es-ES"/>
        </w:rPr>
        <w:t>(Destacado es suplido).</w:t>
      </w:r>
    </w:p>
    <w:p w14:paraId="7406B0DA" w14:textId="77777777" w:rsidR="00572BE6" w:rsidRPr="00572BE6" w:rsidRDefault="00572BE6" w:rsidP="00572BE6">
      <w:pPr>
        <w:pStyle w:val="Prrafodelista"/>
        <w:numPr>
          <w:ilvl w:val="0"/>
          <w:numId w:val="8"/>
        </w:numPr>
        <w:jc w:val="both"/>
        <w:rPr>
          <w:rFonts w:ascii="Arial" w:eastAsia="Times New Roman" w:hAnsi="Arial" w:cs="Arial"/>
          <w:b/>
          <w:bCs/>
          <w:i/>
          <w:iCs/>
          <w:color w:val="000000"/>
          <w:sz w:val="16"/>
          <w:szCs w:val="16"/>
          <w:lang w:val="es-ES"/>
        </w:rPr>
      </w:pPr>
      <w:r w:rsidRPr="00572BE6">
        <w:rPr>
          <w:rFonts w:ascii="Arial" w:hAnsi="Arial" w:cs="Arial"/>
          <w:bCs/>
          <w:color w:val="000000"/>
          <w:sz w:val="16"/>
          <w:szCs w:val="16"/>
        </w:rPr>
        <w:t>Artículo 22 Ley sobre el Desarrollo de la Comunidad (DINADECO). – “</w:t>
      </w:r>
      <w:r w:rsidRPr="00572BE6">
        <w:rPr>
          <w:rFonts w:ascii="Arial" w:hAnsi="Arial" w:cs="Arial"/>
          <w:bCs/>
          <w:i/>
          <w:iCs/>
          <w:color w:val="000000"/>
          <w:sz w:val="16"/>
          <w:szCs w:val="16"/>
        </w:rPr>
        <w:t xml:space="preserve">El </w:t>
      </w:r>
      <w:proofErr w:type="gramStart"/>
      <w:r w:rsidRPr="00572BE6">
        <w:rPr>
          <w:rFonts w:ascii="Arial" w:hAnsi="Arial" w:cs="Arial"/>
          <w:bCs/>
          <w:i/>
          <w:iCs/>
          <w:color w:val="000000"/>
          <w:sz w:val="16"/>
          <w:szCs w:val="16"/>
        </w:rPr>
        <w:t>Presidente</w:t>
      </w:r>
      <w:proofErr w:type="gramEnd"/>
      <w:r w:rsidRPr="00572BE6">
        <w:rPr>
          <w:rFonts w:ascii="Arial" w:hAnsi="Arial" w:cs="Arial"/>
          <w:bCs/>
          <w:i/>
          <w:iCs/>
          <w:color w:val="000000"/>
          <w:sz w:val="16"/>
          <w:szCs w:val="16"/>
        </w:rPr>
        <w:t xml:space="preserve"> de la Junta Directiva será en todo caso el coordinador del trabajo de ella y tendrá representación judicial y extrajudicial de la asociación, con las facultades de un apoderado general</w:t>
      </w:r>
      <w:r w:rsidRPr="00572BE6">
        <w:rPr>
          <w:rFonts w:ascii="Arial" w:hAnsi="Arial" w:cs="Arial"/>
          <w:bCs/>
          <w:color w:val="000000"/>
          <w:sz w:val="16"/>
          <w:szCs w:val="16"/>
        </w:rPr>
        <w:t xml:space="preserve">”. </w:t>
      </w:r>
      <w:r w:rsidRPr="00572BE6">
        <w:rPr>
          <w:rFonts w:ascii="Arial" w:eastAsia="Times New Roman" w:hAnsi="Arial" w:cs="Arial"/>
          <w:bCs/>
          <w:color w:val="000000"/>
          <w:sz w:val="16"/>
          <w:szCs w:val="16"/>
          <w:lang w:val="es-ES"/>
        </w:rPr>
        <w:t>(Destacado es suplido).</w:t>
      </w:r>
    </w:p>
  </w:footnote>
  <w:footnote w:id="4">
    <w:p w14:paraId="3FBB9A80" w14:textId="4A6B5541" w:rsidR="00572BE6" w:rsidRPr="00572BE6" w:rsidRDefault="00572BE6" w:rsidP="00572BE6">
      <w:pPr>
        <w:pStyle w:val="Textonotapie"/>
        <w:rPr>
          <w:rFonts w:cs="Arial"/>
          <w:b w:val="0"/>
          <w:bCs/>
          <w:sz w:val="16"/>
          <w:szCs w:val="16"/>
          <w:lang w:val="es-ES"/>
        </w:rPr>
      </w:pPr>
      <w:r w:rsidRPr="00572BE6">
        <w:rPr>
          <w:rStyle w:val="Refdenotaalpie"/>
          <w:rFonts w:cs="Arial"/>
          <w:b w:val="0"/>
          <w:bCs/>
          <w:sz w:val="16"/>
          <w:szCs w:val="16"/>
        </w:rPr>
        <w:footnoteRef/>
      </w:r>
      <w:r w:rsidRPr="00572BE6">
        <w:rPr>
          <w:rFonts w:cs="Arial"/>
          <w:b w:val="0"/>
          <w:bCs/>
          <w:sz w:val="16"/>
          <w:szCs w:val="16"/>
        </w:rPr>
        <w:t xml:space="preserve"> Remitirse a la nota al pie número </w:t>
      </w:r>
      <w:r w:rsidR="00A30401">
        <w:rPr>
          <w:rFonts w:cs="Arial"/>
          <w:b w:val="0"/>
          <w:bCs/>
          <w:sz w:val="16"/>
          <w:szCs w:val="16"/>
        </w:rPr>
        <w:t>2</w:t>
      </w:r>
      <w:r w:rsidRPr="00572BE6">
        <w:rPr>
          <w:rFonts w:cs="Arial"/>
          <w:b w:val="0"/>
          <w:bCs/>
          <w:sz w:val="16"/>
          <w:szCs w:val="16"/>
        </w:rPr>
        <w:t>.</w:t>
      </w:r>
    </w:p>
  </w:footnote>
  <w:footnote w:id="5">
    <w:p w14:paraId="1B22EB5B" w14:textId="00BDE926" w:rsidR="00572BE6" w:rsidRPr="0072430D" w:rsidRDefault="00572BE6" w:rsidP="00572BE6">
      <w:pPr>
        <w:pStyle w:val="Textonotapie"/>
        <w:ind w:left="708" w:hanging="708"/>
        <w:rPr>
          <w:rFonts w:cs="Arial"/>
          <w:b w:val="0"/>
          <w:bCs/>
          <w:sz w:val="14"/>
          <w:szCs w:val="14"/>
          <w:lang w:val="es-ES"/>
        </w:rPr>
      </w:pPr>
      <w:r w:rsidRPr="00572BE6">
        <w:rPr>
          <w:rStyle w:val="Refdenotaalpie"/>
          <w:rFonts w:cs="Arial"/>
          <w:b w:val="0"/>
          <w:bCs/>
          <w:sz w:val="16"/>
          <w:szCs w:val="16"/>
        </w:rPr>
        <w:footnoteRef/>
      </w:r>
      <w:r w:rsidRPr="00572BE6">
        <w:rPr>
          <w:rFonts w:cs="Arial"/>
          <w:b w:val="0"/>
          <w:bCs/>
          <w:sz w:val="16"/>
          <w:szCs w:val="16"/>
        </w:rPr>
        <w:t xml:space="preserve"> Remitirse a la nota al pie número</w:t>
      </w:r>
      <w:r w:rsidR="00A30401">
        <w:rPr>
          <w:rFonts w:cs="Arial"/>
          <w:b w:val="0"/>
          <w:bCs/>
          <w:sz w:val="16"/>
          <w:szCs w:val="16"/>
        </w:rPr>
        <w:t xml:space="preserve"> 3</w:t>
      </w:r>
      <w:r w:rsidRPr="00572BE6">
        <w:rPr>
          <w:rFonts w:cs="Arial"/>
          <w:b w:val="0"/>
          <w:bCs/>
          <w:sz w:val="16"/>
          <w:szCs w:val="16"/>
        </w:rPr>
        <w:t>.</w:t>
      </w:r>
    </w:p>
  </w:footnote>
  <w:footnote w:id="6">
    <w:p w14:paraId="25ABC725" w14:textId="77777777" w:rsidR="00572BE6" w:rsidRPr="0053262B" w:rsidRDefault="00572BE6" w:rsidP="00572BE6">
      <w:pPr>
        <w:pStyle w:val="Textonotapie"/>
        <w:rPr>
          <w:rFonts w:cs="Arial"/>
          <w:b w:val="0"/>
          <w:bCs/>
          <w:sz w:val="14"/>
          <w:szCs w:val="14"/>
        </w:rPr>
      </w:pPr>
      <w:r w:rsidRPr="0053262B">
        <w:rPr>
          <w:rStyle w:val="Refdenotaalpie"/>
          <w:rFonts w:cs="Arial"/>
          <w:b w:val="0"/>
          <w:bCs/>
          <w:sz w:val="14"/>
          <w:szCs w:val="14"/>
        </w:rPr>
        <w:footnoteRef/>
      </w:r>
      <w:r w:rsidRPr="0053262B">
        <w:rPr>
          <w:rFonts w:cs="Arial"/>
          <w:b w:val="0"/>
          <w:bCs/>
          <w:sz w:val="14"/>
          <w:szCs w:val="14"/>
        </w:rPr>
        <w:t xml:space="preserve"> </w:t>
      </w:r>
      <w:r w:rsidRPr="0053262B">
        <w:rPr>
          <w:rFonts w:eastAsia="Times New Roman" w:cs="Arial"/>
          <w:b w:val="0"/>
          <w:bCs/>
          <w:color w:val="000000"/>
          <w:sz w:val="14"/>
          <w:szCs w:val="14"/>
          <w:lang w:val="es-ES" w:eastAsia="es-ES"/>
        </w:rPr>
        <w:t xml:space="preserve">Artículo 1256 del Código Civil. - </w:t>
      </w:r>
      <w:r w:rsidRPr="0053262B">
        <w:rPr>
          <w:rFonts w:eastAsia="Times New Roman" w:cs="Arial"/>
          <w:b w:val="0"/>
          <w:bCs/>
          <w:i/>
          <w:iCs/>
          <w:color w:val="000000"/>
          <w:sz w:val="14"/>
          <w:szCs w:val="14"/>
          <w:lang w:val="es-ES" w:eastAsia="es-ES"/>
        </w:rPr>
        <w:t xml:space="preserve">“El poder especial para determinado acto jurídico judicial y extrajudicial, solo facultará al mandatario para los actos especificados en el mandato, sin poder extenderse ni siquiera a los que se consideren consecuencia natural de los que el </w:t>
      </w:r>
      <w:r>
        <w:rPr>
          <w:rFonts w:eastAsia="Times New Roman" w:cs="Arial"/>
          <w:b w:val="0"/>
          <w:bCs/>
          <w:i/>
          <w:iCs/>
          <w:color w:val="000000"/>
          <w:sz w:val="14"/>
          <w:szCs w:val="14"/>
          <w:lang w:val="es-ES" w:eastAsia="es-ES"/>
        </w:rPr>
        <w:t>a</w:t>
      </w:r>
      <w:r w:rsidRPr="0053262B">
        <w:rPr>
          <w:rFonts w:eastAsia="Times New Roman" w:cs="Arial"/>
          <w:b w:val="0"/>
          <w:bCs/>
          <w:i/>
          <w:iCs/>
          <w:color w:val="000000"/>
          <w:sz w:val="14"/>
          <w:szCs w:val="14"/>
          <w:lang w:val="es-ES" w:eastAsia="es-ES"/>
        </w:rPr>
        <w:t>poderado esté encargado de ejecutar.</w:t>
      </w:r>
    </w:p>
    <w:p w14:paraId="4A039C0D" w14:textId="77777777" w:rsidR="00572BE6" w:rsidRPr="0053262B" w:rsidRDefault="00572BE6" w:rsidP="00572BE6">
      <w:pPr>
        <w:jc w:val="both"/>
        <w:rPr>
          <w:rFonts w:eastAsia="Times New Roman" w:cs="Arial"/>
          <w:b/>
          <w:bCs/>
          <w:sz w:val="14"/>
          <w:szCs w:val="14"/>
          <w:lang w:val="es-ES"/>
        </w:rPr>
      </w:pPr>
      <w:r w:rsidRPr="0053262B">
        <w:rPr>
          <w:rFonts w:eastAsia="Times New Roman" w:cs="Arial"/>
          <w:bCs/>
          <w:i/>
          <w:iCs/>
          <w:color w:val="000000"/>
          <w:sz w:val="14"/>
          <w:szCs w:val="14"/>
          <w:lang w:val="es-ES"/>
        </w:rPr>
        <w:t>El poder especial otorgado para un acto o contrato con efectos registrales deberá realizarse en escritura pública y no será necesario inscribirlo en el Registro”</w:t>
      </w:r>
      <w:r w:rsidRPr="0053262B">
        <w:rPr>
          <w:rFonts w:eastAsia="Times New Roman" w:cs="Arial"/>
          <w:bCs/>
          <w:color w:val="000000"/>
          <w:sz w:val="14"/>
          <w:szCs w:val="14"/>
          <w:lang w:val="es-ES"/>
        </w:rPr>
        <w:t>.</w:t>
      </w:r>
    </w:p>
    <w:p w14:paraId="07866EC0" w14:textId="77777777" w:rsidR="00572BE6" w:rsidRPr="000F0AB4" w:rsidRDefault="00572BE6" w:rsidP="00572BE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5F89" w14:textId="462030F3" w:rsidR="00787E7C" w:rsidRDefault="00455C9B">
    <w:pPr>
      <w:pStyle w:val="Encabezado"/>
    </w:pPr>
    <w:r>
      <w:rPr>
        <w:noProof/>
        <w:lang w:val="es-CR" w:eastAsia="es-CR"/>
      </w:rPr>
      <w:pict w14:anchorId="5C02A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357954" o:spid="_x0000_s1035" type="#_x0000_t75" style="position:absolute;margin-left:0;margin-top:0;width:643.55pt;height:819.25pt;z-index:-251654144;mso-position-horizontal:center;mso-position-horizontal-relative:margin;mso-position-vertical:center;mso-position-vertical-relative:margin" o:allowincell="f">
          <v:imagedata r:id="rId1" o:title="s - copi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A16" w14:textId="6310AD13" w:rsidR="0006640F" w:rsidRPr="00EC712D" w:rsidRDefault="005F3BA6" w:rsidP="00F54EAB">
    <w:pPr>
      <w:pStyle w:val="Encabezado"/>
      <w:tabs>
        <w:tab w:val="clear" w:pos="4252"/>
        <w:tab w:val="clear" w:pos="8504"/>
        <w:tab w:val="left" w:pos="8085"/>
      </w:tabs>
      <w:rPr>
        <w:rFonts w:ascii="Arial" w:hAnsi="Arial" w:cs="Arial"/>
      </w:rPr>
    </w:pPr>
    <w:r w:rsidRPr="00A73B6E">
      <w:rPr>
        <w:rFonts w:ascii="Arial" w:hAnsi="Arial" w:cs="Arial"/>
        <w:b/>
        <w:noProof/>
        <w:lang w:val="es-CR" w:eastAsia="es-CR"/>
      </w:rPr>
      <w:drawing>
        <wp:anchor distT="0" distB="0" distL="114300" distR="114300" simplePos="0" relativeHeight="251658752" behindDoc="0" locked="0" layoutInCell="1" allowOverlap="1" wp14:anchorId="11CCAD76" wp14:editId="5821B0AE">
          <wp:simplePos x="0" y="0"/>
          <wp:positionH relativeFrom="page">
            <wp:posOffset>648335</wp:posOffset>
          </wp:positionH>
          <wp:positionV relativeFrom="page">
            <wp:posOffset>344170</wp:posOffset>
          </wp:positionV>
          <wp:extent cx="2268000" cy="550800"/>
          <wp:effectExtent l="0" t="0" r="0" b="1905"/>
          <wp:wrapThrough wrapText="bothSides">
            <wp:wrapPolygon edited="0">
              <wp:start x="1815" y="0"/>
              <wp:lineTo x="0" y="5232"/>
              <wp:lineTo x="0" y="15696"/>
              <wp:lineTo x="1996" y="20927"/>
              <wp:lineTo x="3085" y="20927"/>
              <wp:lineTo x="7258" y="20180"/>
              <wp:lineTo x="21412" y="14201"/>
              <wp:lineTo x="21412" y="5979"/>
              <wp:lineTo x="20324" y="5979"/>
              <wp:lineTo x="2903" y="0"/>
              <wp:lineTo x="1815" y="0"/>
            </wp:wrapPolygon>
          </wp:wrapThrough>
          <wp:docPr id="34" name="Imagen 2" descr="Alonso27:Users:Alonso27:Desktop:_ALONSO-LUMEN:Sutel:Sutel Dennis:Plantillas:ai:logo-nuevo-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nso27:Users:Alonso27:Desktop:_ALONSO-LUMEN:Sutel:Sutel Dennis:Plantillas:ai:logo-nuevo-col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5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7C" w:rsidRPr="001323B5">
      <w:rPr>
        <w:rFonts w:ascii="Arial" w:hAnsi="Arial" w:cs="Arial"/>
        <w:noProof/>
        <w:lang w:val="es-CR" w:eastAsia="es-CR"/>
      </w:rPr>
      <mc:AlternateContent>
        <mc:Choice Requires="wps">
          <w:drawing>
            <wp:anchor distT="0" distB="0" distL="114300" distR="114300" simplePos="0" relativeHeight="251655680" behindDoc="0" locked="0" layoutInCell="1" allowOverlap="1" wp14:anchorId="39839436" wp14:editId="162B882B">
              <wp:simplePos x="0" y="0"/>
              <wp:positionH relativeFrom="page">
                <wp:posOffset>5276850</wp:posOffset>
              </wp:positionH>
              <wp:positionV relativeFrom="page">
                <wp:posOffset>361950</wp:posOffset>
              </wp:positionV>
              <wp:extent cx="1838325" cy="408940"/>
              <wp:effectExtent l="0" t="0" r="9525"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838325" cy="408940"/>
                      </a:xfrm>
                      <a:prstGeom prst="rect">
                        <a:avLst/>
                      </a:prstGeom>
                      <a:solidFill>
                        <a:srgbClr val="00758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987E6" w14:textId="2CBBB856" w:rsidR="00787E7C" w:rsidRPr="00D72F4A" w:rsidRDefault="002A1522" w:rsidP="00D72F4A">
                          <w:pPr>
                            <w:spacing w:line="480" w:lineRule="auto"/>
                            <w:jc w:val="center"/>
                            <w:rPr>
                              <w:rFonts w:ascii="Arial" w:hAnsi="Arial" w:cs="Arial"/>
                              <w:color w:val="FFFFFF" w:themeColor="background1"/>
                              <w:sz w:val="28"/>
                              <w:lang w:val="es-CR"/>
                            </w:rPr>
                          </w:pPr>
                          <w:r>
                            <w:rPr>
                              <w:rFonts w:ascii="Arial" w:hAnsi="Arial" w:cs="Arial"/>
                              <w:color w:val="FFFFFF" w:themeColor="background1"/>
                              <w:sz w:val="28"/>
                              <w:lang w:val="es-CR"/>
                            </w:rPr>
                            <w:t>Guía</w:t>
                          </w:r>
                        </w:p>
                      </w:txbxContent>
                    </wps:txbx>
                    <wps:bodyPr rot="0" spcFirstLastPara="0" vertOverflow="overflow" horzOverflow="overflow" vert="horz" wrap="square" lIns="91440" tIns="93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39436" id="_x0000_t202" coordsize="21600,21600" o:spt="202" path="m,l,21600r21600,l21600,xe">
              <v:stroke joinstyle="miter"/>
              <v:path gradientshapeok="t" o:connecttype="rect"/>
            </v:shapetype>
            <v:shape id="Cuadro de texto 12" o:spid="_x0000_s1026" type="#_x0000_t202" style="position:absolute;margin-left:415.5pt;margin-top:28.5pt;width:144.75pt;height:3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" fillcolor="#007588" stroked="f">
              <v:textbox inset=",2.6mm">
                <w:txbxContent>
                  <w:p w14:paraId="466987E6" w14:textId="2CBBB856" w:rsidR="00787E7C" w:rsidRPr="00D72F4A" w:rsidRDefault="002A1522" w:rsidP="00D72F4A">
                    <w:pPr>
                      <w:spacing w:line="480" w:lineRule="auto"/>
                      <w:jc w:val="center"/>
                      <w:rPr>
                        <w:rFonts w:ascii="Arial" w:hAnsi="Arial" w:cs="Arial"/>
                        <w:color w:val="FFFFFF" w:themeColor="background1"/>
                        <w:sz w:val="28"/>
                        <w:lang w:val="es-CR"/>
                      </w:rPr>
                    </w:pPr>
                    <w:r>
                      <w:rPr>
                        <w:rFonts w:ascii="Arial" w:hAnsi="Arial" w:cs="Arial"/>
                        <w:color w:val="FFFFFF" w:themeColor="background1"/>
                        <w:sz w:val="28"/>
                        <w:lang w:val="es-CR"/>
                      </w:rPr>
                      <w:t>Guía</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251" w14:textId="3D196414" w:rsidR="00787E7C" w:rsidRDefault="00455C9B">
    <w:pPr>
      <w:pStyle w:val="Encabezado"/>
    </w:pPr>
    <w:r>
      <w:rPr>
        <w:noProof/>
        <w:lang w:val="es-CR" w:eastAsia="es-CR"/>
      </w:rPr>
      <w:pict w14:anchorId="12212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357953" o:spid="_x0000_s1034" type="#_x0000_t75" style="position:absolute;margin-left:0;margin-top:0;width:643.55pt;height:819.25pt;z-index:-251655168;mso-position-horizontal:center;mso-position-horizontal-relative:margin;mso-position-vertical:center;mso-position-vertical-relative:margin" o:allowincell="f">
          <v:imagedata r:id="rId1" o:title="s - copi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92"/>
    <w:multiLevelType w:val="hybridMultilevel"/>
    <w:tmpl w:val="657EFB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AA30350"/>
    <w:multiLevelType w:val="multilevel"/>
    <w:tmpl w:val="49B4D340"/>
    <w:lvl w:ilvl="0">
      <w:start w:val="1"/>
      <w:numFmt w:val="decimal"/>
      <w:lvlText w:val="%1."/>
      <w:lvlJc w:val="left"/>
      <w:pPr>
        <w:ind w:left="720" w:hanging="360"/>
      </w:pPr>
      <w:rPr>
        <w:b/>
        <w:bCs/>
      </w:rPr>
    </w:lvl>
    <w:lvl w:ilvl="1">
      <w:start w:val="1"/>
      <w:numFmt w:val="decimal"/>
      <w:isLgl/>
      <w:lvlText w:val="%1.%2."/>
      <w:lvlJc w:val="left"/>
      <w:pPr>
        <w:ind w:left="966" w:hanging="360"/>
      </w:pPr>
      <w:rPr>
        <w:rFonts w:ascii="Arial" w:eastAsia="Times New Roman" w:hAnsi="Arial" w:cs="Arial" w:hint="default"/>
        <w:b/>
        <w:bCs/>
        <w:sz w:val="20"/>
        <w:szCs w:val="20"/>
      </w:rPr>
    </w:lvl>
    <w:lvl w:ilvl="2">
      <w:start w:val="1"/>
      <w:numFmt w:val="decimal"/>
      <w:isLgl/>
      <w:lvlText w:val="%1.%2.%3."/>
      <w:lvlJc w:val="left"/>
      <w:pPr>
        <w:ind w:left="1572" w:hanging="720"/>
      </w:pPr>
      <w:rPr>
        <w:rFonts w:asciiTheme="minorHAnsi" w:eastAsia="Times New Roman" w:hAnsiTheme="minorHAnsi" w:hint="default"/>
        <w:b w:val="0"/>
        <w:sz w:val="24"/>
      </w:rPr>
    </w:lvl>
    <w:lvl w:ilvl="3">
      <w:start w:val="1"/>
      <w:numFmt w:val="decimal"/>
      <w:isLgl/>
      <w:lvlText w:val="%1.%2.%3.%4."/>
      <w:lvlJc w:val="left"/>
      <w:pPr>
        <w:ind w:left="1818" w:hanging="720"/>
      </w:pPr>
      <w:rPr>
        <w:rFonts w:asciiTheme="minorHAnsi" w:eastAsia="Times New Roman" w:hAnsiTheme="minorHAnsi" w:hint="default"/>
        <w:b w:val="0"/>
        <w:sz w:val="24"/>
      </w:rPr>
    </w:lvl>
    <w:lvl w:ilvl="4">
      <w:start w:val="1"/>
      <w:numFmt w:val="decimal"/>
      <w:isLgl/>
      <w:lvlText w:val="%1.%2.%3.%4.%5."/>
      <w:lvlJc w:val="left"/>
      <w:pPr>
        <w:ind w:left="2424" w:hanging="1080"/>
      </w:pPr>
      <w:rPr>
        <w:rFonts w:asciiTheme="minorHAnsi" w:eastAsia="Times New Roman" w:hAnsiTheme="minorHAnsi" w:hint="default"/>
        <w:b w:val="0"/>
        <w:sz w:val="24"/>
      </w:rPr>
    </w:lvl>
    <w:lvl w:ilvl="5">
      <w:start w:val="1"/>
      <w:numFmt w:val="decimal"/>
      <w:isLgl/>
      <w:lvlText w:val="%1.%2.%3.%4.%5.%6."/>
      <w:lvlJc w:val="left"/>
      <w:pPr>
        <w:ind w:left="2670" w:hanging="1080"/>
      </w:pPr>
      <w:rPr>
        <w:rFonts w:asciiTheme="minorHAnsi" w:eastAsia="Times New Roman" w:hAnsiTheme="minorHAnsi" w:hint="default"/>
        <w:b w:val="0"/>
        <w:sz w:val="24"/>
      </w:rPr>
    </w:lvl>
    <w:lvl w:ilvl="6">
      <w:start w:val="1"/>
      <w:numFmt w:val="decimal"/>
      <w:isLgl/>
      <w:lvlText w:val="%1.%2.%3.%4.%5.%6.%7."/>
      <w:lvlJc w:val="left"/>
      <w:pPr>
        <w:ind w:left="3276" w:hanging="1440"/>
      </w:pPr>
      <w:rPr>
        <w:rFonts w:asciiTheme="minorHAnsi" w:eastAsia="Times New Roman" w:hAnsiTheme="minorHAnsi" w:hint="default"/>
        <w:b w:val="0"/>
        <w:sz w:val="24"/>
      </w:rPr>
    </w:lvl>
    <w:lvl w:ilvl="7">
      <w:start w:val="1"/>
      <w:numFmt w:val="decimal"/>
      <w:isLgl/>
      <w:lvlText w:val="%1.%2.%3.%4.%5.%6.%7.%8."/>
      <w:lvlJc w:val="left"/>
      <w:pPr>
        <w:ind w:left="3522" w:hanging="1440"/>
      </w:pPr>
      <w:rPr>
        <w:rFonts w:asciiTheme="minorHAnsi" w:eastAsia="Times New Roman" w:hAnsiTheme="minorHAnsi" w:hint="default"/>
        <w:b w:val="0"/>
        <w:sz w:val="24"/>
      </w:rPr>
    </w:lvl>
    <w:lvl w:ilvl="8">
      <w:start w:val="1"/>
      <w:numFmt w:val="decimal"/>
      <w:isLgl/>
      <w:lvlText w:val="%1.%2.%3.%4.%5.%6.%7.%8.%9."/>
      <w:lvlJc w:val="left"/>
      <w:pPr>
        <w:ind w:left="4128" w:hanging="1800"/>
      </w:pPr>
      <w:rPr>
        <w:rFonts w:asciiTheme="minorHAnsi" w:eastAsia="Times New Roman" w:hAnsiTheme="minorHAnsi" w:hint="default"/>
        <w:b w:val="0"/>
        <w:sz w:val="24"/>
      </w:rPr>
    </w:lvl>
  </w:abstractNum>
  <w:abstractNum w:abstractNumId="2" w15:restartNumberingAfterBreak="0">
    <w:nsid w:val="1E5E3AD0"/>
    <w:multiLevelType w:val="hybridMultilevel"/>
    <w:tmpl w:val="E9027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1">
    <w:nsid w:val="20021E5F"/>
    <w:multiLevelType w:val="multilevel"/>
    <w:tmpl w:val="F85EB65E"/>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E32018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DB4B8D"/>
    <w:multiLevelType w:val="hybridMultilevel"/>
    <w:tmpl w:val="FAC64B80"/>
    <w:lvl w:ilvl="0" w:tplc="C142B1B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3F07FE"/>
    <w:multiLevelType w:val="hybridMultilevel"/>
    <w:tmpl w:val="966E7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9448F3"/>
    <w:multiLevelType w:val="hybridMultilevel"/>
    <w:tmpl w:val="51C0BF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958176227">
    <w:abstractNumId w:val="5"/>
  </w:num>
  <w:num w:numId="2" w16cid:durableId="95638904">
    <w:abstractNumId w:val="4"/>
  </w:num>
  <w:num w:numId="3" w16cid:durableId="1053508637">
    <w:abstractNumId w:val="2"/>
  </w:num>
  <w:num w:numId="4" w16cid:durableId="2110002676">
    <w:abstractNumId w:val="7"/>
  </w:num>
  <w:num w:numId="5" w16cid:durableId="2007511202">
    <w:abstractNumId w:val="1"/>
  </w:num>
  <w:num w:numId="6" w16cid:durableId="97220123">
    <w:abstractNumId w:val="0"/>
  </w:num>
  <w:num w:numId="7" w16cid:durableId="1379620609">
    <w:abstractNumId w:val="3"/>
  </w:num>
  <w:num w:numId="8" w16cid:durableId="439957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398"/>
    <w:rsid w:val="000025DD"/>
    <w:rsid w:val="0003179F"/>
    <w:rsid w:val="00042FDB"/>
    <w:rsid w:val="000444E8"/>
    <w:rsid w:val="000463E7"/>
    <w:rsid w:val="00061B58"/>
    <w:rsid w:val="0006640F"/>
    <w:rsid w:val="000700D9"/>
    <w:rsid w:val="00095CC1"/>
    <w:rsid w:val="00095E66"/>
    <w:rsid w:val="000A0A21"/>
    <w:rsid w:val="000A28E2"/>
    <w:rsid w:val="000B16A7"/>
    <w:rsid w:val="000B7227"/>
    <w:rsid w:val="000E6270"/>
    <w:rsid w:val="000F2C26"/>
    <w:rsid w:val="000F6F04"/>
    <w:rsid w:val="00134A97"/>
    <w:rsid w:val="00150E36"/>
    <w:rsid w:val="00157C7A"/>
    <w:rsid w:val="001632DA"/>
    <w:rsid w:val="00192D00"/>
    <w:rsid w:val="001A350E"/>
    <w:rsid w:val="001C3172"/>
    <w:rsid w:val="001D3265"/>
    <w:rsid w:val="001D5F63"/>
    <w:rsid w:val="001E1742"/>
    <w:rsid w:val="00201F31"/>
    <w:rsid w:val="0021492C"/>
    <w:rsid w:val="00222E23"/>
    <w:rsid w:val="00223AB9"/>
    <w:rsid w:val="00240121"/>
    <w:rsid w:val="00262F40"/>
    <w:rsid w:val="002749FC"/>
    <w:rsid w:val="002870DE"/>
    <w:rsid w:val="0029255E"/>
    <w:rsid w:val="002A1522"/>
    <w:rsid w:val="002A5725"/>
    <w:rsid w:val="002B225F"/>
    <w:rsid w:val="002C7C2D"/>
    <w:rsid w:val="002E79E6"/>
    <w:rsid w:val="003239C4"/>
    <w:rsid w:val="00340806"/>
    <w:rsid w:val="00375BAC"/>
    <w:rsid w:val="00386649"/>
    <w:rsid w:val="003B6BD7"/>
    <w:rsid w:val="003C059D"/>
    <w:rsid w:val="003D1A7D"/>
    <w:rsid w:val="00417436"/>
    <w:rsid w:val="00421BE4"/>
    <w:rsid w:val="00432BAD"/>
    <w:rsid w:val="00452786"/>
    <w:rsid w:val="00455C9B"/>
    <w:rsid w:val="00465F90"/>
    <w:rsid w:val="004676F1"/>
    <w:rsid w:val="00492456"/>
    <w:rsid w:val="004976A3"/>
    <w:rsid w:val="004B124A"/>
    <w:rsid w:val="004B49DE"/>
    <w:rsid w:val="004D2392"/>
    <w:rsid w:val="004E0EF8"/>
    <w:rsid w:val="005008AB"/>
    <w:rsid w:val="00503FCE"/>
    <w:rsid w:val="00511CDD"/>
    <w:rsid w:val="00526AA7"/>
    <w:rsid w:val="005358FD"/>
    <w:rsid w:val="00546E40"/>
    <w:rsid w:val="00551067"/>
    <w:rsid w:val="00565AB9"/>
    <w:rsid w:val="00572BE6"/>
    <w:rsid w:val="0058112D"/>
    <w:rsid w:val="00595C12"/>
    <w:rsid w:val="005A2FF6"/>
    <w:rsid w:val="005A4DB1"/>
    <w:rsid w:val="005B0E4B"/>
    <w:rsid w:val="005B108D"/>
    <w:rsid w:val="005B3BC3"/>
    <w:rsid w:val="005D0ED7"/>
    <w:rsid w:val="005D6B72"/>
    <w:rsid w:val="005E5BBA"/>
    <w:rsid w:val="005F3BA6"/>
    <w:rsid w:val="00603C3A"/>
    <w:rsid w:val="00612DA4"/>
    <w:rsid w:val="00633C4E"/>
    <w:rsid w:val="00637DD3"/>
    <w:rsid w:val="00644BC2"/>
    <w:rsid w:val="00665346"/>
    <w:rsid w:val="00672520"/>
    <w:rsid w:val="006B2ADB"/>
    <w:rsid w:val="006D77AE"/>
    <w:rsid w:val="00705CFF"/>
    <w:rsid w:val="0071019D"/>
    <w:rsid w:val="00716E18"/>
    <w:rsid w:val="0071763C"/>
    <w:rsid w:val="0074365D"/>
    <w:rsid w:val="0076399A"/>
    <w:rsid w:val="00772960"/>
    <w:rsid w:val="00787E7C"/>
    <w:rsid w:val="00797C52"/>
    <w:rsid w:val="007D1F8C"/>
    <w:rsid w:val="007E496B"/>
    <w:rsid w:val="007F62FD"/>
    <w:rsid w:val="00805A65"/>
    <w:rsid w:val="0083107F"/>
    <w:rsid w:val="00832BB6"/>
    <w:rsid w:val="00833825"/>
    <w:rsid w:val="00837B9B"/>
    <w:rsid w:val="00837F26"/>
    <w:rsid w:val="00881625"/>
    <w:rsid w:val="008A14C0"/>
    <w:rsid w:val="008A4CDB"/>
    <w:rsid w:val="008B239A"/>
    <w:rsid w:val="008B37BD"/>
    <w:rsid w:val="008C05DA"/>
    <w:rsid w:val="008F0B9B"/>
    <w:rsid w:val="008F4398"/>
    <w:rsid w:val="009005D5"/>
    <w:rsid w:val="00911351"/>
    <w:rsid w:val="00912616"/>
    <w:rsid w:val="0091428A"/>
    <w:rsid w:val="00965664"/>
    <w:rsid w:val="0099263A"/>
    <w:rsid w:val="00993851"/>
    <w:rsid w:val="009B12D0"/>
    <w:rsid w:val="009C16BD"/>
    <w:rsid w:val="009C32F0"/>
    <w:rsid w:val="009C40D7"/>
    <w:rsid w:val="009D26E2"/>
    <w:rsid w:val="009D6636"/>
    <w:rsid w:val="009D6E1D"/>
    <w:rsid w:val="009F22FD"/>
    <w:rsid w:val="00A30401"/>
    <w:rsid w:val="00A36A29"/>
    <w:rsid w:val="00A46BC7"/>
    <w:rsid w:val="00A54A74"/>
    <w:rsid w:val="00A55D05"/>
    <w:rsid w:val="00A801E3"/>
    <w:rsid w:val="00A91FF2"/>
    <w:rsid w:val="00AB3F1D"/>
    <w:rsid w:val="00AC6490"/>
    <w:rsid w:val="00AF2B68"/>
    <w:rsid w:val="00AF52FD"/>
    <w:rsid w:val="00B05E38"/>
    <w:rsid w:val="00B32845"/>
    <w:rsid w:val="00B40B4A"/>
    <w:rsid w:val="00B771F9"/>
    <w:rsid w:val="00B82A2C"/>
    <w:rsid w:val="00BA24C9"/>
    <w:rsid w:val="00BA7264"/>
    <w:rsid w:val="00BB53E7"/>
    <w:rsid w:val="00BC53F3"/>
    <w:rsid w:val="00BE1E81"/>
    <w:rsid w:val="00BE327B"/>
    <w:rsid w:val="00BF7079"/>
    <w:rsid w:val="00C03573"/>
    <w:rsid w:val="00C03887"/>
    <w:rsid w:val="00C0535D"/>
    <w:rsid w:val="00C13B56"/>
    <w:rsid w:val="00C22BA0"/>
    <w:rsid w:val="00C27213"/>
    <w:rsid w:val="00C2741A"/>
    <w:rsid w:val="00C437BD"/>
    <w:rsid w:val="00C51E49"/>
    <w:rsid w:val="00C6391A"/>
    <w:rsid w:val="00C91B79"/>
    <w:rsid w:val="00C95DA0"/>
    <w:rsid w:val="00CC14DB"/>
    <w:rsid w:val="00CD1051"/>
    <w:rsid w:val="00CD49EF"/>
    <w:rsid w:val="00CD6387"/>
    <w:rsid w:val="00CD7F92"/>
    <w:rsid w:val="00CE3850"/>
    <w:rsid w:val="00CE4ABB"/>
    <w:rsid w:val="00D07E82"/>
    <w:rsid w:val="00D124AE"/>
    <w:rsid w:val="00D201F6"/>
    <w:rsid w:val="00D4604A"/>
    <w:rsid w:val="00D462E5"/>
    <w:rsid w:val="00D52B8F"/>
    <w:rsid w:val="00D724DE"/>
    <w:rsid w:val="00D72F4A"/>
    <w:rsid w:val="00D9613B"/>
    <w:rsid w:val="00DA3FDE"/>
    <w:rsid w:val="00DA437B"/>
    <w:rsid w:val="00DB5B74"/>
    <w:rsid w:val="00DE5A1E"/>
    <w:rsid w:val="00E03391"/>
    <w:rsid w:val="00E03BCA"/>
    <w:rsid w:val="00E05CB9"/>
    <w:rsid w:val="00E16993"/>
    <w:rsid w:val="00E34939"/>
    <w:rsid w:val="00E42A6D"/>
    <w:rsid w:val="00E57592"/>
    <w:rsid w:val="00E6153F"/>
    <w:rsid w:val="00E71BA4"/>
    <w:rsid w:val="00E73A8E"/>
    <w:rsid w:val="00EC712D"/>
    <w:rsid w:val="00ED492D"/>
    <w:rsid w:val="00ED610E"/>
    <w:rsid w:val="00ED78F0"/>
    <w:rsid w:val="00EE111A"/>
    <w:rsid w:val="00F54EAB"/>
    <w:rsid w:val="00F62844"/>
    <w:rsid w:val="00F631AC"/>
    <w:rsid w:val="00F650CB"/>
    <w:rsid w:val="00F70351"/>
    <w:rsid w:val="00F72844"/>
    <w:rsid w:val="00F83BA6"/>
    <w:rsid w:val="00F97CBD"/>
    <w:rsid w:val="00FA07F8"/>
    <w:rsid w:val="00FC2C24"/>
    <w:rsid w:val="00FD5BE0"/>
    <w:rsid w:val="00FD75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63529"/>
  <w14:defaultImageDpi w14:val="300"/>
  <w15:docId w15:val="{09C11B6D-C0A3-4042-B07B-C8B3E1D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ítulos"/>
    <w:basedOn w:val="Normal"/>
    <w:qFormat/>
    <w:rsid w:val="009D6E1D"/>
    <w:rPr>
      <w:rFonts w:ascii="Museo Sans 700" w:hAnsi="Museo Sans 700"/>
      <w:sz w:val="68"/>
      <w:szCs w:val="68"/>
    </w:rPr>
  </w:style>
  <w:style w:type="paragraph" w:styleId="Encabezado">
    <w:name w:val="header"/>
    <w:basedOn w:val="Normal"/>
    <w:link w:val="EncabezadoCar"/>
    <w:uiPriority w:val="99"/>
    <w:unhideWhenUsed/>
    <w:rsid w:val="008F4398"/>
    <w:pPr>
      <w:tabs>
        <w:tab w:val="center" w:pos="4252"/>
        <w:tab w:val="right" w:pos="8504"/>
      </w:tabs>
    </w:pPr>
  </w:style>
  <w:style w:type="character" w:customStyle="1" w:styleId="EncabezadoCar">
    <w:name w:val="Encabezado Car"/>
    <w:basedOn w:val="Fuentedeprrafopredeter"/>
    <w:link w:val="Encabezado"/>
    <w:uiPriority w:val="99"/>
    <w:rsid w:val="008F4398"/>
  </w:style>
  <w:style w:type="paragraph" w:styleId="Piedepgina">
    <w:name w:val="footer"/>
    <w:basedOn w:val="Normal"/>
    <w:link w:val="PiedepginaCar"/>
    <w:uiPriority w:val="99"/>
    <w:unhideWhenUsed/>
    <w:rsid w:val="008F4398"/>
    <w:pPr>
      <w:tabs>
        <w:tab w:val="center" w:pos="4252"/>
        <w:tab w:val="right" w:pos="8504"/>
      </w:tabs>
    </w:pPr>
  </w:style>
  <w:style w:type="character" w:customStyle="1" w:styleId="PiedepginaCar">
    <w:name w:val="Pie de página Car"/>
    <w:basedOn w:val="Fuentedeprrafopredeter"/>
    <w:link w:val="Piedepgina"/>
    <w:uiPriority w:val="99"/>
    <w:rsid w:val="008F4398"/>
  </w:style>
  <w:style w:type="paragraph" w:styleId="Textodeglobo">
    <w:name w:val="Balloon Text"/>
    <w:basedOn w:val="Normal"/>
    <w:link w:val="TextodegloboCar"/>
    <w:uiPriority w:val="99"/>
    <w:semiHidden/>
    <w:unhideWhenUsed/>
    <w:rsid w:val="008F4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4398"/>
    <w:rPr>
      <w:rFonts w:ascii="Lucida Grande" w:hAnsi="Lucida Grande" w:cs="Lucida Grande"/>
      <w:sz w:val="18"/>
      <w:szCs w:val="18"/>
    </w:rPr>
  </w:style>
  <w:style w:type="paragraph" w:styleId="Citadestacada">
    <w:name w:val="Intense Quote"/>
    <w:basedOn w:val="Normal"/>
    <w:next w:val="Normal"/>
    <w:link w:val="CitadestacadaCar"/>
    <w:uiPriority w:val="30"/>
    <w:rsid w:val="00C053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0535D"/>
    <w:rPr>
      <w:b/>
      <w:bCs/>
      <w:i/>
      <w:iCs/>
      <w:color w:val="4F81BD" w:themeColor="accent1"/>
    </w:rPr>
  </w:style>
  <w:style w:type="paragraph" w:customStyle="1" w:styleId="parrafos">
    <w:name w:val="parrafos"/>
    <w:basedOn w:val="Normal"/>
    <w:autoRedefine/>
    <w:qFormat/>
    <w:rsid w:val="00192D00"/>
    <w:pPr>
      <w:spacing w:line="276" w:lineRule="auto"/>
      <w:jc w:val="center"/>
    </w:pPr>
    <w:rPr>
      <w:rFonts w:ascii="Helvetica" w:hAnsi="Helvetica"/>
      <w:sz w:val="22"/>
    </w:rPr>
  </w:style>
  <w:style w:type="character" w:styleId="Hipervnculo">
    <w:name w:val="Hyperlink"/>
    <w:basedOn w:val="Fuentedeprrafopredeter"/>
    <w:uiPriority w:val="99"/>
    <w:unhideWhenUsed/>
    <w:rsid w:val="003B6BD7"/>
    <w:rPr>
      <w:color w:val="0000FF" w:themeColor="hyperlink"/>
      <w:u w:val="single"/>
    </w:rPr>
  </w:style>
  <w:style w:type="paragraph" w:styleId="Prrafodelista">
    <w:name w:val="List Paragraph"/>
    <w:basedOn w:val="Normal"/>
    <w:uiPriority w:val="34"/>
    <w:qFormat/>
    <w:rsid w:val="00201F31"/>
    <w:pPr>
      <w:ind w:left="720"/>
      <w:contextualSpacing/>
    </w:pPr>
  </w:style>
  <w:style w:type="table" w:styleId="Tablaconcuadrcula">
    <w:name w:val="Table Grid"/>
    <w:basedOn w:val="Tablanormal"/>
    <w:uiPriority w:val="59"/>
    <w:rsid w:val="00E7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C6490"/>
  </w:style>
  <w:style w:type="paragraph" w:styleId="Mapadeldocumento">
    <w:name w:val="Document Map"/>
    <w:basedOn w:val="Normal"/>
    <w:link w:val="MapadeldocumentoCar"/>
    <w:uiPriority w:val="99"/>
    <w:semiHidden/>
    <w:unhideWhenUsed/>
    <w:rsid w:val="00FD754B"/>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FD754B"/>
    <w:rPr>
      <w:rFonts w:ascii="Lucida Grande" w:hAnsi="Lucida Grande" w:cs="Lucida Grande"/>
    </w:rPr>
  </w:style>
  <w:style w:type="paragraph" w:styleId="Revisin">
    <w:name w:val="Revision"/>
    <w:hidden/>
    <w:uiPriority w:val="99"/>
    <w:semiHidden/>
    <w:rsid w:val="00FD754B"/>
  </w:style>
  <w:style w:type="paragraph" w:customStyle="1" w:styleId="titulotabla">
    <w:name w:val="titulo tabla"/>
    <w:basedOn w:val="parrafos"/>
    <w:qFormat/>
    <w:rsid w:val="000B7227"/>
    <w:rPr>
      <w:color w:val="FFFFFF" w:themeColor="background1"/>
    </w:rPr>
  </w:style>
  <w:style w:type="paragraph" w:customStyle="1" w:styleId="titulos">
    <w:name w:val="titulos"/>
    <w:basedOn w:val="parrafos"/>
    <w:qFormat/>
    <w:rsid w:val="00E6153F"/>
    <w:rPr>
      <w:rFonts w:ascii="Arial" w:hAnsi="Arial" w:cs="Arial"/>
      <w:b/>
    </w:rPr>
  </w:style>
  <w:style w:type="character" w:styleId="Mencinsinresolver">
    <w:name w:val="Unresolved Mention"/>
    <w:basedOn w:val="Fuentedeprrafopredeter"/>
    <w:uiPriority w:val="99"/>
    <w:semiHidden/>
    <w:unhideWhenUsed/>
    <w:rsid w:val="007F62FD"/>
    <w:rPr>
      <w:color w:val="605E5C"/>
      <w:shd w:val="clear" w:color="auto" w:fill="E1DFDD"/>
    </w:rPr>
  </w:style>
  <w:style w:type="paragraph" w:styleId="Textonotapie">
    <w:name w:val="footnote text"/>
    <w:basedOn w:val="Normal"/>
    <w:link w:val="TextonotapieCar"/>
    <w:uiPriority w:val="99"/>
    <w:unhideWhenUsed/>
    <w:rsid w:val="00572BE6"/>
    <w:rPr>
      <w:rFonts w:ascii="Arial" w:eastAsiaTheme="minorHAnsi" w:hAnsi="Arial"/>
      <w:b/>
      <w:sz w:val="20"/>
      <w:szCs w:val="20"/>
      <w:lang w:val="es-CR" w:eastAsia="en-US"/>
    </w:rPr>
  </w:style>
  <w:style w:type="character" w:customStyle="1" w:styleId="TextonotapieCar">
    <w:name w:val="Texto nota pie Car"/>
    <w:basedOn w:val="Fuentedeprrafopredeter"/>
    <w:link w:val="Textonotapie"/>
    <w:uiPriority w:val="99"/>
    <w:rsid w:val="00572BE6"/>
    <w:rPr>
      <w:rFonts w:ascii="Arial" w:eastAsiaTheme="minorHAnsi" w:hAnsi="Arial"/>
      <w:b/>
      <w:sz w:val="20"/>
      <w:szCs w:val="20"/>
      <w:lang w:val="es-CR" w:eastAsia="en-US"/>
    </w:rPr>
  </w:style>
  <w:style w:type="character" w:styleId="Refdenotaalpie">
    <w:name w:val="footnote reference"/>
    <w:basedOn w:val="Fuentedeprrafopredeter"/>
    <w:uiPriority w:val="99"/>
    <w:semiHidden/>
    <w:unhideWhenUsed/>
    <w:rsid w:val="00572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el.go.cr/"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utel.go.c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estiondocumental@sutel.go.c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7C67C-BDCD-42D4-A933-2A24BABAF360}">
  <ds:schemaRefs>
    <ds:schemaRef ds:uri="http://schemas.openxmlformats.org/officeDocument/2006/bibliography"/>
  </ds:schemaRefs>
</ds:datastoreItem>
</file>

<file path=customXml/itemProps2.xml><?xml version="1.0" encoding="utf-8"?>
<ds:datastoreItem xmlns:ds="http://schemas.openxmlformats.org/officeDocument/2006/customXml" ds:itemID="{B131C36F-54B6-490C-B2F4-8A29B9F9B6E5}"/>
</file>

<file path=customXml/itemProps3.xml><?xml version="1.0" encoding="utf-8"?>
<ds:datastoreItem xmlns:ds="http://schemas.openxmlformats.org/officeDocument/2006/customXml" ds:itemID="{E6049F48-FE69-4EC0-A507-A768C9B4D8BF}"/>
</file>

<file path=customXml/itemProps4.xml><?xml version="1.0" encoding="utf-8"?>
<ds:datastoreItem xmlns:ds="http://schemas.openxmlformats.org/officeDocument/2006/customXml" ds:itemID="{1F7A90BC-3D6A-4767-A35E-5FA7671CBD39}"/>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Melissa Munoz</cp:lastModifiedBy>
  <cp:revision>4</cp:revision>
  <cp:lastPrinted>2019-06-26T15:37:00Z</cp:lastPrinted>
  <dcterms:created xsi:type="dcterms:W3CDTF">2023-03-30T14:59:00Z</dcterms:created>
  <dcterms:modified xsi:type="dcterms:W3CDTF">2023-04-11T16:58:00Z</dcterms:modified>
</cp:coreProperties>
</file>